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0</w:t>
      </w:r>
      <w:r>
        <w:t>817</w:t>
      </w:r>
      <w:r>
        <w:rPr>
          <w:rFonts w:hint="eastAsia"/>
        </w:rPr>
        <w:t>化学工程与技术</w:t>
      </w:r>
    </w:p>
    <w:p>
      <w:pPr>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化学工程与技术</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专业代码（0817）</w:t>
      </w:r>
    </w:p>
    <w:p>
      <w:pPr>
        <w:numPr>
          <w:ilvl w:val="0"/>
          <w:numId w:val="2"/>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学科简介</w:t>
      </w:r>
    </w:p>
    <w:p>
      <w:pPr>
        <w:pStyle w:val="6"/>
        <w:overflowPunct w:val="0"/>
      </w:pPr>
      <w:r>
        <w:rPr>
          <w:rFonts w:hint="eastAsia"/>
        </w:rPr>
        <w:t>化学工程与技术一级学科是我校最早成立、长期重点建设的学科之一，形成了以石油加工、基本有机化工和精细石油化工为特色的学科体系。学科点包含化学工程、化学工艺、应用化学、生物化工和工业催化五个二级学科。</w:t>
      </w:r>
    </w:p>
    <w:p>
      <w:pPr>
        <w:pStyle w:val="6"/>
        <w:overflowPunct w:val="0"/>
      </w:pPr>
      <w:r>
        <w:rPr>
          <w:rFonts w:hint="eastAsia"/>
        </w:rPr>
        <w:t>本学科持续获得江苏省优势学科专项建设资助，其中化学工艺二级学科是江苏省重点学科，应用化学二级学科是中国石化集团公司重点学科。作为江苏省优秀学科梯队，学科队伍年龄、职称、知识结构合理，其中教授42人，副教授32人，博士比例达到90%。拥有国务院政府特殊津贴获得者2人，国家万人计划教学名师1人，外专千人计划1人，江苏省333工程（第二层次）2人，江苏省“青蓝工程”中青年学术带头人4人，江苏省“双创”人才6人，江苏省教学名师1人，江苏省优青1人，省科技创新团队4个。</w:t>
      </w:r>
    </w:p>
    <w:p>
      <w:pPr>
        <w:pStyle w:val="6"/>
        <w:overflowPunct w:val="0"/>
      </w:pPr>
      <w:r>
        <w:rPr>
          <w:rFonts w:hint="eastAsia"/>
        </w:rPr>
        <w:t>学科科研成果显著，在工业催化、节能减排、绿色合成、资源利用、新能源等研究领域取得了一批具有国际先进水平的代表性成果，在省内外和我国石油石化行业形成了较高的知名度。近五年先后承担省部级以上项目100余项，</w:t>
      </w:r>
      <w:r>
        <w:t>其中</w:t>
      </w:r>
      <w:r>
        <w:rPr>
          <w:rFonts w:hint="eastAsia"/>
        </w:rPr>
        <w:t>国家自然科学基金重点项目1项，</w:t>
      </w:r>
      <w:r>
        <w:t>国家自然科学基金项目</w:t>
      </w:r>
      <w:r>
        <w:rPr>
          <w:rFonts w:hint="eastAsia"/>
        </w:rPr>
        <w:t>21</w:t>
      </w:r>
      <w:r>
        <w:t>项；</w:t>
      </w:r>
      <w:r>
        <w:rPr>
          <w:rFonts w:hint="eastAsia"/>
        </w:rPr>
        <w:t>获省部级以上科技奖励20余项，其中国家技术发明二等奖1项、江苏省科技进步一等奖2项、二等奖1项、中国石油和化学工业联合会技术发明奖1项、科技进步奖4项；科研经费1.5亿元；在</w:t>
      </w:r>
      <w:r>
        <w:rPr>
          <w:rFonts w:hint="eastAsia"/>
          <w:i/>
        </w:rPr>
        <w:t>J. Am. Chem. Soc.</w:t>
      </w:r>
      <w:r>
        <w:rPr>
          <w:rFonts w:hint="eastAsia"/>
        </w:rPr>
        <w:t>、</w:t>
      </w:r>
      <w:r>
        <w:rPr>
          <w:rFonts w:hint="eastAsia"/>
          <w:i/>
        </w:rPr>
        <w:t xml:space="preserve"> J. Catal.</w:t>
      </w:r>
      <w:r>
        <w:rPr>
          <w:rFonts w:hint="eastAsia"/>
        </w:rPr>
        <w:t>、</w:t>
      </w:r>
      <w:r>
        <w:rPr>
          <w:rFonts w:hint="eastAsia"/>
          <w:i/>
        </w:rPr>
        <w:t>AIChE J.</w:t>
      </w:r>
      <w:r>
        <w:rPr>
          <w:rFonts w:hint="eastAsia"/>
        </w:rPr>
        <w:t>、</w:t>
      </w:r>
      <w:r>
        <w:rPr>
          <w:rFonts w:hint="eastAsia"/>
          <w:i/>
        </w:rPr>
        <w:t>Chem. Eng. Sci.</w:t>
      </w:r>
      <w:r>
        <w:rPr>
          <w:rFonts w:hint="eastAsia"/>
        </w:rPr>
        <w:t>、</w:t>
      </w:r>
      <w:r>
        <w:rPr>
          <w:rFonts w:hint="eastAsia"/>
          <w:i/>
        </w:rPr>
        <w:t>Ind. Eng. Chem. Res.</w:t>
      </w:r>
      <w:r>
        <w:rPr>
          <w:rFonts w:hint="eastAsia"/>
        </w:rPr>
        <w:t>等期刊上发表一批高水平论文。</w:t>
      </w:r>
    </w:p>
    <w:p>
      <w:pPr>
        <w:pStyle w:val="6"/>
        <w:overflowPunct w:val="0"/>
      </w:pPr>
      <w:r>
        <w:t>学科拥有包括国家地方联合工程研究中心、国家级实验教学示范中心、省协同创新中心、省部级重点实验室等在内的11个国家和省部级教学科研平台</w:t>
      </w:r>
      <w:r>
        <w:rPr>
          <w:rFonts w:hint="eastAsia"/>
        </w:rPr>
        <w:t>。拥有400M和500M核磁共振波谱仪、高分辨透射电镜、X射线粉末衍射仪、X射线单晶衍射仪、哈克转矩流变仪系统、场发射扫描电镜、智能重量分析仪等一批先进分析测试仪器，为高素质创新型人才培养和科研创新提供了有力支撑。</w:t>
      </w:r>
    </w:p>
    <w:p>
      <w:pPr>
        <w:numPr>
          <w:ilvl w:val="0"/>
          <w:numId w:val="2"/>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培养目标</w:t>
      </w:r>
    </w:p>
    <w:p>
      <w:pPr>
        <w:pStyle w:val="6"/>
        <w:overflowPunct w:val="0"/>
      </w:pPr>
      <w:r>
        <w:rPr>
          <w:rFonts w:hint="eastAsia"/>
        </w:rPr>
        <w:t>培养学生坚决拥护中国共产党的领导；树立正确的世界观、人生观和价值观;具有强烈的家国情怀、宽广的国际视野和良好的职业素养；遵纪守法，团结协作，学风严谨，勇于创新，乐于奉献。</w:t>
      </w:r>
    </w:p>
    <w:p>
      <w:pPr>
        <w:pStyle w:val="6"/>
        <w:overflowPunct w:val="0"/>
      </w:pPr>
      <w:r>
        <w:rPr>
          <w:rFonts w:hint="eastAsia"/>
        </w:rPr>
        <w:t>培养学生具有扎实的化工基础理论和专业知识，对化工学科前沿科学技术的发展现状有较全面深入的了解。培养具有独立从事科学研究、技术管理、工程应用能力的高素质创新型人才。</w:t>
      </w:r>
      <w:r>
        <w:rPr>
          <w:rFonts w:hint="eastAsia"/>
          <w:highlight w:val="none"/>
        </w:rPr>
        <w:t>至少熟练掌握一门外国语言。</w:t>
      </w:r>
    </w:p>
    <w:p>
      <w:pPr>
        <w:numPr>
          <w:ilvl w:val="0"/>
          <w:numId w:val="2"/>
        </w:numPr>
        <w:tabs>
          <w:tab w:val="left" w:pos="0"/>
        </w:tabs>
        <w:spacing w:before="156" w:beforeLines="50" w:after="156" w:afterLines="50"/>
        <w:rPr>
          <w:rFonts w:ascii="宋体" w:hAnsi="宋体" w:eastAsia="宋体" w:cs="Times New Roman"/>
          <w:b/>
          <w:bCs/>
          <w:sz w:val="24"/>
          <w:szCs w:val="24"/>
        </w:rPr>
      </w:pPr>
      <w:r>
        <w:rPr>
          <w:rFonts w:hint="eastAsia" w:ascii="宋体" w:hAnsi="宋体" w:eastAsia="宋体" w:cs="Times New Roman"/>
          <w:b/>
          <w:bCs/>
          <w:sz w:val="24"/>
          <w:szCs w:val="24"/>
        </w:rPr>
        <w:t>主要研究方向</w:t>
      </w:r>
    </w:p>
    <w:p>
      <w:pPr>
        <w:pStyle w:val="6"/>
        <w:numPr>
          <w:ilvl w:val="0"/>
          <w:numId w:val="3"/>
        </w:numPr>
        <w:overflowPunct w:val="0"/>
        <w:ind w:firstLineChars="0"/>
      </w:pPr>
      <w:r>
        <w:rPr>
          <w:rFonts w:hint="eastAsia"/>
        </w:rPr>
        <w:t>新型分离材料及分离过程研究</w:t>
      </w:r>
    </w:p>
    <w:p>
      <w:pPr>
        <w:pStyle w:val="6"/>
        <w:numPr>
          <w:ilvl w:val="0"/>
          <w:numId w:val="3"/>
        </w:numPr>
        <w:overflowPunct w:val="0"/>
        <w:ind w:firstLineChars="0"/>
      </w:pPr>
      <w:r>
        <w:rPr>
          <w:rFonts w:hint="eastAsia"/>
        </w:rPr>
        <w:t>现代油品加工工艺与技术</w:t>
      </w:r>
    </w:p>
    <w:p>
      <w:pPr>
        <w:pStyle w:val="6"/>
        <w:numPr>
          <w:ilvl w:val="0"/>
          <w:numId w:val="3"/>
        </w:numPr>
        <w:overflowPunct w:val="0"/>
        <w:ind w:firstLineChars="0"/>
      </w:pPr>
      <w:r>
        <w:rPr>
          <w:rFonts w:hint="eastAsia"/>
        </w:rPr>
        <w:t>新型催化材料及催化反应工艺</w:t>
      </w:r>
    </w:p>
    <w:p>
      <w:pPr>
        <w:pStyle w:val="6"/>
        <w:numPr>
          <w:ilvl w:val="0"/>
          <w:numId w:val="3"/>
        </w:numPr>
        <w:overflowPunct w:val="0"/>
        <w:ind w:firstLineChars="0"/>
      </w:pPr>
      <w:r>
        <w:rPr>
          <w:rFonts w:hint="eastAsia"/>
        </w:rPr>
        <w:t>精细化学品绿色合成技术</w:t>
      </w:r>
    </w:p>
    <w:p>
      <w:pPr>
        <w:pStyle w:val="6"/>
        <w:numPr>
          <w:ilvl w:val="0"/>
          <w:numId w:val="3"/>
        </w:numPr>
        <w:overflowPunct w:val="0"/>
        <w:ind w:firstLineChars="0"/>
      </w:pPr>
      <w:r>
        <w:rPr>
          <w:rFonts w:hint="eastAsia"/>
        </w:rPr>
        <w:t>生物制造与生物质工业转化技术</w:t>
      </w:r>
    </w:p>
    <w:p>
      <w:pPr>
        <w:numPr>
          <w:ilvl w:val="0"/>
          <w:numId w:val="2"/>
        </w:numPr>
        <w:tabs>
          <w:tab w:val="left" w:pos="0"/>
        </w:tabs>
        <w:spacing w:before="156" w:beforeLines="50" w:after="156" w:afterLines="5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学习年限及学分要求</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学术学位硕士研究生的学习年限一般为 3 年，最长学习年限不超过 5 年。</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 xml:space="preserve">学术型硕士研究生总学分最低要求为 </w:t>
      </w:r>
      <w:r>
        <w:rPr>
          <w:rFonts w:hint="eastAsia" w:ascii="宋体" w:hAnsi="宋体" w:eastAsia="宋体" w:cs="Times New Roman"/>
          <w:kern w:val="0"/>
          <w:sz w:val="24"/>
          <w:szCs w:val="24"/>
          <w:highlight w:val="none"/>
          <w:shd w:val="clear" w:color="auto" w:fill="FFFFFF"/>
        </w:rPr>
        <w:t>30</w:t>
      </w:r>
      <w:r>
        <w:rPr>
          <w:rFonts w:ascii="宋体" w:hAnsi="宋体" w:eastAsia="宋体" w:cs="Times New Roman"/>
          <w:kern w:val="0"/>
          <w:sz w:val="24"/>
          <w:szCs w:val="24"/>
          <w:highlight w:val="none"/>
          <w:shd w:val="clear" w:color="auto" w:fill="FFFFFF"/>
        </w:rPr>
        <w:t xml:space="preserve"> 学分，其中课程学分 </w:t>
      </w:r>
      <w:r>
        <w:rPr>
          <w:rFonts w:hint="eastAsia" w:ascii="宋体" w:hAnsi="宋体" w:eastAsia="宋体" w:cs="Times New Roman"/>
          <w:kern w:val="0"/>
          <w:sz w:val="24"/>
          <w:szCs w:val="24"/>
          <w:highlight w:val="none"/>
          <w:shd w:val="clear" w:color="auto" w:fill="FFFFFF"/>
        </w:rPr>
        <w:t>28</w:t>
      </w:r>
      <w:r>
        <w:rPr>
          <w:rFonts w:ascii="宋体" w:hAnsi="宋体" w:eastAsia="宋体" w:cs="Times New Roman"/>
          <w:kern w:val="0"/>
          <w:sz w:val="24"/>
          <w:szCs w:val="24"/>
          <w:highlight w:val="none"/>
          <w:shd w:val="clear" w:color="auto" w:fill="FFFFFF"/>
        </w:rPr>
        <w:t xml:space="preserve"> 学分（公共学位课程</w:t>
      </w:r>
      <w:r>
        <w:rPr>
          <w:rFonts w:hint="eastAsia" w:ascii="宋体" w:hAnsi="宋体" w:eastAsia="宋体" w:cs="Times New Roman"/>
          <w:kern w:val="0"/>
          <w:sz w:val="24"/>
          <w:szCs w:val="24"/>
          <w:highlight w:val="none"/>
          <w:shd w:val="clear" w:color="auto" w:fill="FFFFFF"/>
        </w:rPr>
        <w:t xml:space="preserve"> 12</w:t>
      </w:r>
      <w:r>
        <w:rPr>
          <w:rFonts w:ascii="宋体" w:hAnsi="宋体" w:eastAsia="宋体" w:cs="Times New Roman"/>
          <w:kern w:val="0"/>
          <w:sz w:val="24"/>
          <w:szCs w:val="24"/>
          <w:highlight w:val="none"/>
          <w:shd w:val="clear" w:color="auto" w:fill="FFFFFF"/>
        </w:rPr>
        <w:t xml:space="preserve"> 学分，</w:t>
      </w:r>
      <w:r>
        <w:rPr>
          <w:rFonts w:hint="eastAsia" w:ascii="宋体" w:hAnsi="宋体" w:eastAsia="宋体" w:cs="Times New Roman"/>
          <w:kern w:val="0"/>
          <w:sz w:val="24"/>
          <w:szCs w:val="24"/>
          <w:highlight w:val="none"/>
          <w:shd w:val="clear" w:color="auto" w:fill="FFFFFF"/>
        </w:rPr>
        <w:t>B类</w:t>
      </w:r>
      <w:r>
        <w:rPr>
          <w:rFonts w:ascii="宋体" w:hAnsi="宋体" w:eastAsia="宋体" w:cs="Times New Roman"/>
          <w:kern w:val="0"/>
          <w:sz w:val="24"/>
          <w:szCs w:val="24"/>
          <w:highlight w:val="none"/>
          <w:shd w:val="clear" w:color="auto" w:fill="FFFFFF"/>
        </w:rPr>
        <w:t xml:space="preserve">专业学位课程 </w:t>
      </w:r>
      <w:r>
        <w:rPr>
          <w:rFonts w:hint="eastAsia" w:ascii="宋体" w:hAnsi="宋体" w:eastAsia="宋体" w:cs="Times New Roman"/>
          <w:kern w:val="0"/>
          <w:sz w:val="24"/>
          <w:szCs w:val="24"/>
          <w:highlight w:val="none"/>
          <w:shd w:val="clear" w:color="auto" w:fill="FFFFFF"/>
        </w:rPr>
        <w:t>6</w:t>
      </w:r>
      <w:r>
        <w:rPr>
          <w:rFonts w:ascii="宋体" w:hAnsi="宋体" w:eastAsia="宋体" w:cs="Times New Roman"/>
          <w:kern w:val="0"/>
          <w:sz w:val="24"/>
          <w:szCs w:val="24"/>
          <w:highlight w:val="none"/>
          <w:shd w:val="clear" w:color="auto" w:fill="FFFFFF"/>
        </w:rPr>
        <w:t xml:space="preserve"> 学分，</w:t>
      </w:r>
      <w:r>
        <w:rPr>
          <w:rFonts w:hint="eastAsia" w:ascii="宋体" w:hAnsi="宋体" w:eastAsia="宋体" w:cs="Times New Roman"/>
          <w:kern w:val="0"/>
          <w:sz w:val="24"/>
          <w:szCs w:val="24"/>
          <w:highlight w:val="none"/>
          <w:shd w:val="clear" w:color="auto" w:fill="FFFFFF"/>
        </w:rPr>
        <w:t>C类</w:t>
      </w:r>
      <w:r>
        <w:rPr>
          <w:rFonts w:ascii="宋体" w:hAnsi="宋体" w:eastAsia="宋体" w:cs="Times New Roman"/>
          <w:kern w:val="0"/>
          <w:sz w:val="24"/>
          <w:szCs w:val="24"/>
          <w:highlight w:val="none"/>
          <w:shd w:val="clear" w:color="auto" w:fill="FFFFFF"/>
        </w:rPr>
        <w:t xml:space="preserve">专业选修课 </w:t>
      </w:r>
      <w:r>
        <w:rPr>
          <w:rFonts w:hint="eastAsia" w:ascii="宋体" w:hAnsi="宋体" w:eastAsia="宋体" w:cs="Times New Roman"/>
          <w:kern w:val="0"/>
          <w:sz w:val="24"/>
          <w:szCs w:val="24"/>
          <w:highlight w:val="none"/>
          <w:shd w:val="clear" w:color="auto" w:fill="FFFFFF"/>
        </w:rPr>
        <w:t>8</w:t>
      </w:r>
      <w:r>
        <w:rPr>
          <w:rFonts w:ascii="宋体" w:hAnsi="宋体" w:eastAsia="宋体" w:cs="Times New Roman"/>
          <w:kern w:val="0"/>
          <w:sz w:val="24"/>
          <w:szCs w:val="24"/>
          <w:highlight w:val="none"/>
          <w:shd w:val="clear" w:color="auto" w:fill="FFFFFF"/>
        </w:rPr>
        <w:t xml:space="preserve"> 学分，公共选修课 </w:t>
      </w:r>
      <w:r>
        <w:rPr>
          <w:rFonts w:hint="eastAsia" w:ascii="宋体" w:hAnsi="宋体" w:eastAsia="宋体" w:cs="Times New Roman"/>
          <w:kern w:val="0"/>
          <w:sz w:val="24"/>
          <w:szCs w:val="24"/>
          <w:highlight w:val="none"/>
          <w:shd w:val="clear" w:color="auto" w:fill="FFFFFF"/>
        </w:rPr>
        <w:t>2</w:t>
      </w:r>
      <w:r>
        <w:rPr>
          <w:rFonts w:ascii="宋体" w:hAnsi="宋体" w:eastAsia="宋体" w:cs="Times New Roman"/>
          <w:kern w:val="0"/>
          <w:sz w:val="24"/>
          <w:szCs w:val="24"/>
          <w:highlight w:val="none"/>
          <w:shd w:val="clear" w:color="auto" w:fill="FFFFFF"/>
        </w:rPr>
        <w:t xml:space="preserve"> 学分），参加学术讲座/报告（至少15次） </w:t>
      </w:r>
      <w:r>
        <w:rPr>
          <w:rFonts w:hint="eastAsia" w:ascii="宋体" w:hAnsi="宋体" w:eastAsia="宋体" w:cs="Times New Roman"/>
          <w:kern w:val="0"/>
          <w:sz w:val="24"/>
          <w:szCs w:val="24"/>
          <w:highlight w:val="none"/>
          <w:shd w:val="clear" w:color="auto" w:fill="FFFFFF"/>
        </w:rPr>
        <w:t>1</w:t>
      </w:r>
      <w:r>
        <w:rPr>
          <w:rFonts w:ascii="宋体" w:hAnsi="宋体" w:eastAsia="宋体" w:cs="Times New Roman"/>
          <w:kern w:val="0"/>
          <w:sz w:val="24"/>
          <w:szCs w:val="24"/>
          <w:highlight w:val="none"/>
          <w:shd w:val="clear" w:color="auto" w:fill="FFFFFF"/>
        </w:rPr>
        <w:t xml:space="preserve"> 学分，实践活动 </w:t>
      </w:r>
      <w:r>
        <w:rPr>
          <w:rFonts w:hint="eastAsia" w:ascii="宋体" w:hAnsi="宋体" w:eastAsia="宋体" w:cs="Times New Roman"/>
          <w:kern w:val="0"/>
          <w:sz w:val="24"/>
          <w:szCs w:val="24"/>
          <w:highlight w:val="none"/>
          <w:shd w:val="clear" w:color="auto" w:fill="FFFFFF"/>
        </w:rPr>
        <w:t>1</w:t>
      </w:r>
      <w:r>
        <w:rPr>
          <w:rFonts w:ascii="宋体" w:hAnsi="宋体" w:eastAsia="宋体" w:cs="Times New Roman"/>
          <w:kern w:val="0"/>
          <w:sz w:val="24"/>
          <w:szCs w:val="24"/>
          <w:highlight w:val="none"/>
          <w:shd w:val="clear" w:color="auto" w:fill="FFFFFF"/>
        </w:rPr>
        <w:t xml:space="preserve"> 学分。</w:t>
      </w:r>
    </w:p>
    <w:p>
      <w:pPr>
        <w:tabs>
          <w:tab w:val="left" w:pos="0"/>
        </w:tabs>
        <w:spacing w:line="360" w:lineRule="auto"/>
        <w:ind w:firstLine="480" w:firstLineChars="200"/>
        <w:rPr>
          <w:rFonts w:hint="eastAsia" w:ascii="宋体" w:hAnsi="宋体" w:eastAsia="宋体" w:cs="Times New Roman"/>
          <w:kern w:val="0"/>
          <w:sz w:val="24"/>
          <w:szCs w:val="24"/>
          <w:highlight w:val="none"/>
          <w:shd w:val="clear" w:color="auto" w:fill="FFFFFF"/>
        </w:rPr>
      </w:pPr>
      <w:r>
        <w:rPr>
          <w:rFonts w:ascii="宋体" w:hAnsi="宋体" w:eastAsia="宋体" w:cs="Times New Roman"/>
          <w:kern w:val="0"/>
          <w:sz w:val="24"/>
          <w:szCs w:val="24"/>
          <w:highlight w:val="none"/>
          <w:shd w:val="clear" w:color="auto" w:fill="FFFFFF"/>
        </w:rPr>
        <w:t>对于同等学力或转专业入学的硕士研究生必须补修所读学科的大学本科主干课程（不少于两门），补修课程只记成绩，不计学分，但应列入个人培养计划。</w:t>
      </w:r>
    </w:p>
    <w:p>
      <w:pPr>
        <w:pStyle w:val="6"/>
        <w:rPr>
          <w:rFonts w:hint="eastAsia"/>
        </w:rPr>
      </w:pPr>
      <w:r>
        <w:rPr>
          <w:rFonts w:hint="eastAsia"/>
          <w:highlight w:val="none"/>
        </w:rPr>
        <w:t>其它要求详见《常州大学学术学位硕士研究生培养方案（总则）》。</w:t>
      </w:r>
    </w:p>
    <w:p>
      <w:pPr>
        <w:numPr>
          <w:ilvl w:val="0"/>
          <w:numId w:val="2"/>
        </w:numPr>
        <w:tabs>
          <w:tab w:val="left" w:pos="0"/>
        </w:tabs>
        <w:spacing w:before="156" w:beforeLines="50" w:after="156" w:afterLines="50"/>
        <w:rPr>
          <w:rFonts w:ascii="宋体" w:hAnsi="宋体" w:eastAsia="宋体" w:cs="Times New Roman"/>
          <w:b/>
          <w:bCs/>
          <w:sz w:val="24"/>
          <w:szCs w:val="24"/>
        </w:rPr>
      </w:pPr>
      <w:r>
        <w:rPr>
          <w:rFonts w:ascii="宋体" w:hAnsi="宋体" w:eastAsia="宋体" w:cs="Times New Roman"/>
          <w:b/>
          <w:bCs/>
          <w:sz w:val="24"/>
          <w:szCs w:val="24"/>
        </w:rPr>
        <w:t>课程设置</w:t>
      </w:r>
    </w:p>
    <w:tbl>
      <w:tblPr>
        <w:tblStyle w:val="3"/>
        <w:tblW w:w="10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4"/>
        <w:gridCol w:w="1984"/>
        <w:gridCol w:w="708"/>
        <w:gridCol w:w="709"/>
        <w:gridCol w:w="709"/>
        <w:gridCol w:w="1274"/>
        <w:gridCol w:w="1498"/>
        <w:gridCol w:w="705"/>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71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类别</w:t>
            </w:r>
          </w:p>
        </w:tc>
        <w:tc>
          <w:tcPr>
            <w:tcW w:w="1984"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课程编号</w:t>
            </w:r>
          </w:p>
        </w:tc>
        <w:tc>
          <w:tcPr>
            <w:tcW w:w="1984"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课程名称</w:t>
            </w:r>
          </w:p>
        </w:tc>
        <w:tc>
          <w:tcPr>
            <w:tcW w:w="708"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学分</w:t>
            </w:r>
          </w:p>
        </w:tc>
        <w:tc>
          <w:tcPr>
            <w:tcW w:w="709"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开课学期</w:t>
            </w:r>
          </w:p>
        </w:tc>
        <w:tc>
          <w:tcPr>
            <w:tcW w:w="1274"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开课学院</w:t>
            </w:r>
          </w:p>
        </w:tc>
        <w:tc>
          <w:tcPr>
            <w:tcW w:w="1498"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授课</w:t>
            </w:r>
          </w:p>
          <w:p>
            <w:pPr>
              <w:jc w:val="center"/>
              <w:rPr>
                <w:rFonts w:ascii="Times New Roman" w:hAnsi="Times New Roman" w:eastAsia="宋体" w:cs="Times New Roman"/>
                <w:b/>
                <w:bCs/>
                <w:szCs w:val="21"/>
              </w:rPr>
            </w:pPr>
            <w:r>
              <w:rPr>
                <w:rFonts w:ascii="Times New Roman" w:hAnsi="Times New Roman" w:eastAsia="宋体" w:cs="Times New Roman"/>
                <w:b/>
                <w:bCs/>
                <w:szCs w:val="21"/>
              </w:rPr>
              <w:t>方式</w:t>
            </w:r>
          </w:p>
        </w:tc>
        <w:tc>
          <w:tcPr>
            <w:tcW w:w="705"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考试</w:t>
            </w:r>
          </w:p>
          <w:p>
            <w:pPr>
              <w:jc w:val="center"/>
              <w:rPr>
                <w:rFonts w:ascii="Times New Roman" w:hAnsi="Times New Roman" w:eastAsia="宋体" w:cs="Times New Roman"/>
                <w:b/>
                <w:bCs/>
                <w:szCs w:val="21"/>
              </w:rPr>
            </w:pPr>
            <w:r>
              <w:rPr>
                <w:rFonts w:ascii="Times New Roman" w:hAnsi="Times New Roman" w:eastAsia="宋体" w:cs="Times New Roman"/>
                <w:b/>
                <w:bCs/>
                <w:szCs w:val="21"/>
              </w:rPr>
              <w:t>方式</w:t>
            </w:r>
          </w:p>
        </w:tc>
        <w:tc>
          <w:tcPr>
            <w:tcW w:w="581"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A类</w:t>
            </w:r>
          </w:p>
          <w:p>
            <w:pPr>
              <w:rPr>
                <w:rFonts w:ascii="Times New Roman" w:hAnsi="Times New Roman" w:eastAsia="宋体" w:cs="Times New Roman"/>
                <w:szCs w:val="21"/>
              </w:rPr>
            </w:pPr>
            <w:r>
              <w:rPr>
                <w:rFonts w:ascii="Times New Roman" w:hAnsi="Times New Roman" w:eastAsia="宋体" w:cs="Times New Roman"/>
                <w:szCs w:val="21"/>
              </w:rPr>
              <w:t>公共基础学位课</w:t>
            </w:r>
          </w:p>
        </w:tc>
        <w:tc>
          <w:tcPr>
            <w:tcW w:w="1984" w:type="dxa"/>
            <w:vAlign w:val="center"/>
          </w:tcPr>
          <w:p>
            <w:pPr>
              <w:jc w:val="left"/>
              <w:rPr>
                <w:rFonts w:ascii="宋体" w:hAnsi="宋体" w:eastAsia="宋体" w:cs="宋体"/>
              </w:rPr>
            </w:pPr>
            <w:r>
              <w:rPr>
                <w:rFonts w:hint="eastAsia" w:ascii="宋体" w:hAnsi="宋体" w:eastAsia="宋体" w:cs="宋体"/>
              </w:rPr>
              <w:t>S12A1001</w:t>
            </w:r>
          </w:p>
        </w:tc>
        <w:tc>
          <w:tcPr>
            <w:tcW w:w="1984"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中国特色社会主义理论与实践研究</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36</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1-2</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马克思学院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12</w:t>
            </w:r>
          </w:p>
          <w:p>
            <w:pPr>
              <w:rPr>
                <w:rFonts w:ascii="Times New Roman" w:hAnsi="Times New Roman" w:eastAsia="宋体" w:cs="Times New Roman"/>
                <w:szCs w:val="21"/>
              </w:rPr>
            </w:pPr>
            <w:r>
              <w:rPr>
                <w:rFonts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S14A1003</w:t>
            </w:r>
          </w:p>
        </w:tc>
        <w:tc>
          <w:tcPr>
            <w:tcW w:w="1984"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第一外语--英语(学硕)</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108</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6</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1-2</w:t>
            </w:r>
          </w:p>
        </w:tc>
        <w:tc>
          <w:tcPr>
            <w:tcW w:w="1274" w:type="dxa"/>
            <w:vAlign w:val="center"/>
          </w:tcPr>
          <w:p>
            <w:pPr>
              <w:jc w:val="left"/>
              <w:rPr>
                <w:rFonts w:ascii="Times New Roman" w:hAnsi="Times New Roman" w:eastAsia="宋体" w:cs="Times New Roman"/>
                <w:szCs w:val="21"/>
              </w:rPr>
            </w:pPr>
            <w:r>
              <w:fldChar w:fldCharType="begin"/>
            </w:r>
            <w:r>
              <w:instrText xml:space="preserve"> HYPERLINK "http://sfs.cczu.edu.cn/" </w:instrText>
            </w:r>
            <w:r>
              <w:fldChar w:fldCharType="separate"/>
            </w:r>
            <w:r>
              <w:rPr>
                <w:rFonts w:ascii="Times New Roman" w:hAnsi="Times New Roman" w:eastAsia="宋体" w:cs="Times New Roman"/>
                <w:szCs w:val="21"/>
              </w:rPr>
              <w:t>外国语学院</w:t>
            </w:r>
            <w:r>
              <w:rPr>
                <w:rFonts w:ascii="Times New Roman" w:hAnsi="Times New Roman" w:eastAsia="宋体" w:cs="Times New Roman"/>
                <w:szCs w:val="21"/>
              </w:rPr>
              <w:fldChar w:fldCharType="end"/>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S15A1002</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应用数理统计</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36</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1-2</w:t>
            </w:r>
          </w:p>
        </w:tc>
        <w:tc>
          <w:tcPr>
            <w:tcW w:w="1274"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计算机</w:t>
            </w:r>
            <w:r>
              <w:rPr>
                <w:rFonts w:ascii="Times New Roman" w:hAnsi="Times New Roman" w:eastAsia="宋体" w:cs="Times New Roman"/>
                <w:szCs w:val="21"/>
              </w:rPr>
              <w:t>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S15A1001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数值分析</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36</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1-2</w:t>
            </w:r>
          </w:p>
        </w:tc>
        <w:tc>
          <w:tcPr>
            <w:tcW w:w="1274"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计算机</w:t>
            </w:r>
            <w:r>
              <w:rPr>
                <w:rFonts w:ascii="Times New Roman" w:hAnsi="Times New Roman" w:eastAsia="宋体" w:cs="Times New Roman"/>
                <w:szCs w:val="21"/>
              </w:rPr>
              <w:t>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B类</w:t>
            </w:r>
          </w:p>
          <w:p>
            <w:pPr>
              <w:rPr>
                <w:rFonts w:ascii="Times New Roman" w:hAnsi="Times New Roman" w:eastAsia="宋体" w:cs="Times New Roman"/>
                <w:szCs w:val="21"/>
              </w:rPr>
            </w:pPr>
            <w:r>
              <w:rPr>
                <w:rFonts w:ascii="Times New Roman" w:hAnsi="Times New Roman" w:eastAsia="宋体" w:cs="Times New Roman"/>
                <w:szCs w:val="21"/>
              </w:rPr>
              <w:t>专业学位课</w:t>
            </w:r>
          </w:p>
        </w:tc>
        <w:tc>
          <w:tcPr>
            <w:tcW w:w="1984" w:type="dxa"/>
            <w:vAlign w:val="center"/>
          </w:tcPr>
          <w:p>
            <w:pPr>
              <w:jc w:val="left"/>
              <w:rPr>
                <w:rFonts w:ascii="Times New Roman" w:hAnsi="Times New Roman" w:eastAsia="宋体" w:cs="Times New Roman"/>
                <w:b/>
                <w:bCs/>
                <w:szCs w:val="21"/>
              </w:rPr>
            </w:pPr>
            <w:r>
              <w:rPr>
                <w:rFonts w:hint="eastAsia" w:ascii="宋体" w:hAnsi="宋体" w:eastAsia="宋体" w:cs="宋体"/>
                <w:b/>
                <w:bCs/>
              </w:rPr>
              <w:t>S02B1002</w:t>
            </w:r>
          </w:p>
        </w:tc>
        <w:tc>
          <w:tcPr>
            <w:tcW w:w="1984"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工程伦理（必选）</w:t>
            </w:r>
          </w:p>
        </w:tc>
        <w:tc>
          <w:tcPr>
            <w:tcW w:w="708"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32</w:t>
            </w:r>
          </w:p>
        </w:tc>
        <w:tc>
          <w:tcPr>
            <w:tcW w:w="709"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2</w:t>
            </w:r>
          </w:p>
        </w:tc>
        <w:tc>
          <w:tcPr>
            <w:tcW w:w="709"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1</w:t>
            </w:r>
          </w:p>
        </w:tc>
        <w:tc>
          <w:tcPr>
            <w:tcW w:w="1274"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石化学院</w:t>
            </w:r>
          </w:p>
        </w:tc>
        <w:tc>
          <w:tcPr>
            <w:tcW w:w="1498"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讲授/研讨</w:t>
            </w:r>
          </w:p>
        </w:tc>
        <w:tc>
          <w:tcPr>
            <w:tcW w:w="705"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考试</w:t>
            </w:r>
          </w:p>
        </w:tc>
        <w:tc>
          <w:tcPr>
            <w:tcW w:w="581"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≥6</w:t>
            </w:r>
          </w:p>
          <w:p>
            <w:pPr>
              <w:rPr>
                <w:rFonts w:ascii="Times New Roman" w:hAnsi="Times New Roman" w:eastAsia="宋体" w:cs="Times New Roman"/>
                <w:szCs w:val="21"/>
              </w:rPr>
            </w:pPr>
            <w:r>
              <w:rPr>
                <w:rFonts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S02B1016</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高等反应工程</w:t>
            </w:r>
            <w:r>
              <w:rPr>
                <w:rFonts w:ascii="Times New Roman" w:hAnsi="Times New Roman" w:eastAsia="宋体" w:cs="Times New Roman"/>
                <w:b/>
                <w:bCs/>
                <w:szCs w:val="21"/>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S02B1017</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高等分离工程</w:t>
            </w:r>
            <w:r>
              <w:rPr>
                <w:rFonts w:ascii="Times New Roman" w:hAnsi="Times New Roman" w:eastAsia="宋体" w:cs="Times New Roman"/>
                <w:b/>
                <w:bCs/>
                <w:szCs w:val="21"/>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S02B1018</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传递过程</w:t>
            </w:r>
            <w:r>
              <w:rPr>
                <w:rFonts w:ascii="Times New Roman" w:hAnsi="Times New Roman" w:eastAsia="宋体" w:cs="Times New Roman"/>
                <w:b/>
                <w:bCs/>
                <w:szCs w:val="21"/>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S02B1019</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高等化工热力学</w:t>
            </w:r>
            <w:r>
              <w:rPr>
                <w:rFonts w:hint="eastAsia" w:ascii="Times New Roman" w:hAnsi="Times New Roman" w:eastAsia="宋体" w:cs="Times New Roman"/>
                <w:szCs w:val="21"/>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S02B1006</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现代分析技术</w:t>
            </w:r>
            <w:r>
              <w:rPr>
                <w:rFonts w:hint="eastAsia" w:ascii="Times New Roman" w:hAnsi="Times New Roman" w:eastAsia="宋体" w:cs="Times New Roman"/>
                <w:szCs w:val="21"/>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S02B1020</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波谱分析(工)</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S02B1021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化工过程分析与优化</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S02B1009</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现代有机合成</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S02B1022</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应用催化</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S09B1006</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现代微生物技术</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both"/>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S09B1007</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生化反应动力学与反应器</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考试</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C类</w:t>
            </w:r>
          </w:p>
          <w:p>
            <w:pPr>
              <w:rPr>
                <w:rFonts w:ascii="Times New Roman" w:hAnsi="Times New Roman" w:eastAsia="宋体" w:cs="Times New Roman"/>
                <w:szCs w:val="21"/>
              </w:rPr>
            </w:pPr>
            <w:r>
              <w:rPr>
                <w:rFonts w:ascii="Times New Roman" w:hAnsi="Times New Roman" w:eastAsia="宋体" w:cs="Times New Roman"/>
                <w:szCs w:val="21"/>
              </w:rPr>
              <w:t>专业选修课</w:t>
            </w: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S02C1015</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现代石油加工技术</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≥8</w:t>
            </w:r>
          </w:p>
          <w:p>
            <w:pPr>
              <w:rPr>
                <w:rFonts w:ascii="Times New Roman" w:hAnsi="Times New Roman" w:eastAsia="宋体" w:cs="Times New Roman"/>
                <w:szCs w:val="21"/>
              </w:rPr>
            </w:pPr>
            <w:r>
              <w:rPr>
                <w:rFonts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S02C1004</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绿色化学</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S02C1003</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应用电化学</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S02C1016</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化工节能技术</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S02C1017</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化工过程计算</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S02C1018</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精细有机合成与工艺</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S02C1019</w:t>
            </w:r>
          </w:p>
        </w:tc>
        <w:tc>
          <w:tcPr>
            <w:tcW w:w="1984" w:type="dxa"/>
            <w:vAlign w:val="center"/>
          </w:tcPr>
          <w:p>
            <w:pPr>
              <w:jc w:val="left"/>
              <w:rPr>
                <w:rFonts w:hint="eastAsia" w:ascii="Times New Roman" w:hAnsi="Times New Roman" w:eastAsia="宋体" w:cs="Times New Roman"/>
                <w:szCs w:val="21"/>
                <w:lang w:eastAsia="zh-CN"/>
              </w:rPr>
            </w:pPr>
            <w:r>
              <w:rPr>
                <w:rFonts w:ascii="Times New Roman" w:hAnsi="Times New Roman" w:eastAsia="宋体" w:cs="Times New Roman"/>
                <w:szCs w:val="21"/>
              </w:rPr>
              <w:t>高等无机合成</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工</w:t>
            </w:r>
            <w:r>
              <w:rPr>
                <w:rFonts w:hint="eastAsia" w:ascii="Times New Roman" w:hAnsi="Times New Roman" w:eastAsia="宋体" w:cs="Times New Roman"/>
                <w:szCs w:val="21"/>
                <w:lang w:eastAsia="zh-CN"/>
              </w:rPr>
              <w:t>）</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S02C1006</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胶体与表面化学</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S02C1021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专业英语与科技论文写作(工)</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S02C1020</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现代化工研究进展</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b/>
                <w:bCs/>
                <w:szCs w:val="21"/>
              </w:rPr>
            </w:pPr>
            <w:r>
              <w:rPr>
                <w:rFonts w:hint="eastAsia" w:ascii="宋体" w:hAnsi="宋体" w:eastAsia="宋体" w:cs="宋体"/>
                <w:b/>
                <w:bCs/>
              </w:rPr>
              <w:t>S02C1001</w:t>
            </w:r>
          </w:p>
        </w:tc>
        <w:tc>
          <w:tcPr>
            <w:tcW w:w="1984"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文献检索与阅读（必选）</w:t>
            </w:r>
          </w:p>
        </w:tc>
        <w:tc>
          <w:tcPr>
            <w:tcW w:w="708"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32</w:t>
            </w:r>
          </w:p>
        </w:tc>
        <w:tc>
          <w:tcPr>
            <w:tcW w:w="709"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2</w:t>
            </w:r>
          </w:p>
        </w:tc>
        <w:tc>
          <w:tcPr>
            <w:tcW w:w="709" w:type="dxa"/>
            <w:vAlign w:val="center"/>
          </w:tcPr>
          <w:p>
            <w:pPr>
              <w:jc w:val="left"/>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lang w:val="en-US" w:eastAsia="zh-CN"/>
              </w:rPr>
              <w:t>2</w:t>
            </w:r>
          </w:p>
        </w:tc>
        <w:tc>
          <w:tcPr>
            <w:tcW w:w="1274"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石化学院</w:t>
            </w:r>
          </w:p>
        </w:tc>
        <w:tc>
          <w:tcPr>
            <w:tcW w:w="1498"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研讨</w:t>
            </w:r>
          </w:p>
        </w:tc>
        <w:tc>
          <w:tcPr>
            <w:tcW w:w="705"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S09C1020</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现代生物技术</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S09C1019</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生物催化工艺学</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Theme="minorEastAsia" w:hAnsiTheme="minorEastAsia"/>
                <w:kern w:val="0"/>
                <w:szCs w:val="21"/>
              </w:rPr>
              <w:t>S</w:t>
            </w:r>
            <w:r>
              <w:rPr>
                <w:rFonts w:asciiTheme="minorEastAsia" w:hAnsiTheme="minorEastAsia"/>
                <w:kern w:val="0"/>
                <w:szCs w:val="21"/>
              </w:rPr>
              <w:t>09C1002</w:t>
            </w:r>
          </w:p>
        </w:tc>
        <w:tc>
          <w:tcPr>
            <w:tcW w:w="1984" w:type="dxa"/>
            <w:vAlign w:val="center"/>
          </w:tcPr>
          <w:p>
            <w:pPr>
              <w:jc w:val="left"/>
              <w:rPr>
                <w:rFonts w:ascii="Times New Roman" w:hAnsi="Times New Roman" w:eastAsia="宋体" w:cs="Times New Roman"/>
                <w:szCs w:val="21"/>
              </w:rPr>
            </w:pPr>
            <w:r>
              <w:rPr>
                <w:rFonts w:hint="eastAsia" w:asciiTheme="minorEastAsia" w:hAnsiTheme="minorEastAsia"/>
                <w:kern w:val="0"/>
                <w:szCs w:val="21"/>
              </w:rPr>
              <w:t>计算机辅助药物设计</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S09C1011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现代分子生物学</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药学院</w:t>
            </w:r>
          </w:p>
        </w:tc>
        <w:tc>
          <w:tcPr>
            <w:tcW w:w="1498" w:type="dxa"/>
          </w:tcPr>
          <w:p>
            <w:pPr>
              <w:rPr>
                <w:rFonts w:ascii="Times New Roman" w:hAnsi="Times New Roman" w:eastAsia="宋体" w:cs="Times New Roman"/>
                <w:szCs w:val="21"/>
              </w:rPr>
            </w:pPr>
            <w:r>
              <w:rPr>
                <w:rFonts w:ascii="Times New Roman" w:hAnsi="Times New Roman" w:eastAsia="宋体" w:cs="Times New Roman"/>
                <w:szCs w:val="21"/>
              </w:rPr>
              <w:t>讲授/研讨</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713"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D类</w:t>
            </w:r>
          </w:p>
          <w:p>
            <w:pPr>
              <w:rPr>
                <w:rFonts w:ascii="Times New Roman" w:hAnsi="Times New Roman" w:eastAsia="宋体" w:cs="Times New Roman"/>
                <w:szCs w:val="21"/>
              </w:rPr>
            </w:pPr>
            <w:r>
              <w:rPr>
                <w:rFonts w:ascii="Times New Roman" w:hAnsi="Times New Roman" w:eastAsia="宋体" w:cs="Times New Roman"/>
                <w:szCs w:val="21"/>
              </w:rPr>
              <w:t>公共选修课</w:t>
            </w:r>
          </w:p>
        </w:tc>
        <w:tc>
          <w:tcPr>
            <w:tcW w:w="1984" w:type="dxa"/>
          </w:tcPr>
          <w:p>
            <w:pPr>
              <w:jc w:val="left"/>
              <w:rPr>
                <w:rFonts w:ascii="宋体" w:hAnsi="宋体" w:eastAsia="宋体" w:cs="宋体"/>
              </w:rPr>
            </w:pPr>
            <w:r>
              <w:rPr>
                <w:rFonts w:hint="eastAsia" w:ascii="宋体" w:hAnsi="宋体" w:eastAsia="宋体" w:cs="宋体"/>
              </w:rPr>
              <w:t>S14D1002</w:t>
            </w:r>
          </w:p>
        </w:tc>
        <w:tc>
          <w:tcPr>
            <w:tcW w:w="1984" w:type="dxa"/>
            <w:vAlign w:val="center"/>
          </w:tcPr>
          <w:p>
            <w:pPr>
              <w:rPr>
                <w:rFonts w:ascii="Times New Roman" w:hAnsi="Times New Roman" w:eastAsia="宋体" w:cs="Times New Roman"/>
                <w:szCs w:val="21"/>
              </w:rPr>
            </w:pPr>
            <w:r>
              <w:rPr>
                <w:rFonts w:ascii="Times New Roman" w:hAnsi="Times New Roman" w:eastAsia="宋体" w:cs="Times New Roman"/>
                <w:szCs w:val="21"/>
              </w:rPr>
              <w:t>日语</w:t>
            </w:r>
          </w:p>
        </w:tc>
        <w:tc>
          <w:tcPr>
            <w:tcW w:w="708" w:type="dxa"/>
            <w:vAlign w:val="center"/>
          </w:tcPr>
          <w:p>
            <w:pPr>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p>
        </w:tc>
        <w:tc>
          <w:tcPr>
            <w:tcW w:w="1274" w:type="dxa"/>
            <w:vAlign w:val="center"/>
          </w:tcPr>
          <w:p>
            <w:pPr>
              <w:jc w:val="left"/>
              <w:rPr>
                <w:rFonts w:ascii="Times New Roman" w:hAnsi="Times New Roman" w:eastAsia="宋体" w:cs="Times New Roman"/>
                <w:szCs w:val="21"/>
              </w:rPr>
            </w:pPr>
            <w:r>
              <w:fldChar w:fldCharType="begin"/>
            </w:r>
            <w:r>
              <w:instrText xml:space="preserve"> HYPERLINK "http://sfs.cczu.edu.cn/" </w:instrText>
            </w:r>
            <w:r>
              <w:fldChar w:fldCharType="separate"/>
            </w:r>
            <w:r>
              <w:rPr>
                <w:rFonts w:ascii="Times New Roman" w:hAnsi="Times New Roman" w:eastAsia="宋体" w:cs="Times New Roman"/>
                <w:szCs w:val="21"/>
              </w:rPr>
              <w:t>外国语学院</w:t>
            </w:r>
            <w:r>
              <w:rPr>
                <w:rFonts w:ascii="Times New Roman" w:hAnsi="Times New Roman" w:eastAsia="宋体" w:cs="Times New Roman"/>
                <w:szCs w:val="21"/>
              </w:rPr>
              <w:fldChar w:fldCharType="end"/>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≥2</w:t>
            </w:r>
          </w:p>
          <w:p>
            <w:pPr>
              <w:rPr>
                <w:rFonts w:ascii="Times New Roman" w:hAnsi="Times New Roman" w:eastAsia="宋体" w:cs="Times New Roman"/>
                <w:szCs w:val="21"/>
              </w:rPr>
            </w:pPr>
            <w:r>
              <w:rPr>
                <w:rFonts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S14D1003</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高级英语听说</w:t>
            </w:r>
          </w:p>
        </w:tc>
        <w:tc>
          <w:tcPr>
            <w:tcW w:w="708" w:type="dxa"/>
            <w:vAlign w:val="center"/>
          </w:tcPr>
          <w:p>
            <w:pPr>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4" w:type="dxa"/>
            <w:vAlign w:val="center"/>
          </w:tcPr>
          <w:p>
            <w:pPr>
              <w:jc w:val="left"/>
              <w:rPr>
                <w:rFonts w:ascii="Times New Roman" w:hAnsi="Times New Roman" w:eastAsia="宋体" w:cs="Times New Roman"/>
                <w:szCs w:val="21"/>
              </w:rPr>
            </w:pPr>
            <w:r>
              <w:fldChar w:fldCharType="begin"/>
            </w:r>
            <w:r>
              <w:instrText xml:space="preserve"> HYPERLINK "http://sfs.cczu.edu.cn/" </w:instrText>
            </w:r>
            <w:r>
              <w:fldChar w:fldCharType="separate"/>
            </w:r>
            <w:r>
              <w:rPr>
                <w:rFonts w:ascii="Times New Roman" w:hAnsi="Times New Roman" w:eastAsia="宋体" w:cs="Times New Roman"/>
                <w:szCs w:val="21"/>
              </w:rPr>
              <w:t>外国语学院</w:t>
            </w:r>
            <w:r>
              <w:rPr>
                <w:rFonts w:ascii="Times New Roman" w:hAnsi="Times New Roman" w:eastAsia="宋体" w:cs="Times New Roman"/>
                <w:szCs w:val="21"/>
              </w:rPr>
              <w:fldChar w:fldCharType="end"/>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S14D1001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西班牙语</w:t>
            </w:r>
          </w:p>
        </w:tc>
        <w:tc>
          <w:tcPr>
            <w:tcW w:w="708" w:type="dxa"/>
            <w:vAlign w:val="center"/>
          </w:tcPr>
          <w:p>
            <w:pPr>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4" w:type="dxa"/>
            <w:vAlign w:val="center"/>
          </w:tcPr>
          <w:p>
            <w:pPr>
              <w:jc w:val="left"/>
              <w:rPr>
                <w:rFonts w:ascii="Times New Roman" w:hAnsi="Times New Roman" w:eastAsia="宋体" w:cs="Times New Roman"/>
                <w:szCs w:val="21"/>
              </w:rPr>
            </w:pPr>
            <w:r>
              <w:fldChar w:fldCharType="begin"/>
            </w:r>
            <w:r>
              <w:instrText xml:space="preserve"> HYPERLINK "http://sfs.cczu.edu.cn/" </w:instrText>
            </w:r>
            <w:r>
              <w:fldChar w:fldCharType="separate"/>
            </w:r>
            <w:r>
              <w:rPr>
                <w:rFonts w:ascii="Times New Roman" w:hAnsi="Times New Roman" w:eastAsia="宋体" w:cs="Times New Roman"/>
                <w:szCs w:val="21"/>
              </w:rPr>
              <w:t>外国语学院</w:t>
            </w:r>
            <w:r>
              <w:rPr>
                <w:rFonts w:ascii="Times New Roman" w:hAnsi="Times New Roman" w:eastAsia="宋体" w:cs="Times New Roman"/>
                <w:szCs w:val="21"/>
              </w:rPr>
              <w:fldChar w:fldCharType="end"/>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rPr>
              <w:t>S08D1001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商务导论</w:t>
            </w:r>
          </w:p>
        </w:tc>
        <w:tc>
          <w:tcPr>
            <w:tcW w:w="708" w:type="dxa"/>
            <w:vAlign w:val="center"/>
          </w:tcPr>
          <w:p>
            <w:pPr>
              <w:rPr>
                <w:rFonts w:ascii="Times New Roman" w:hAnsi="Times New Roman" w:eastAsia="宋体" w:cs="Times New Roman"/>
                <w:szCs w:val="21"/>
              </w:rPr>
            </w:pPr>
            <w:r>
              <w:rPr>
                <w:rFonts w:ascii="Times New Roman" w:hAnsi="Times New Roman" w:eastAsia="宋体" w:cs="Times New Roman"/>
                <w:szCs w:val="21"/>
              </w:rPr>
              <w:t>32</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2</w:t>
            </w:r>
          </w:p>
        </w:tc>
        <w:tc>
          <w:tcPr>
            <w:tcW w:w="709" w:type="dxa"/>
            <w:vAlign w:val="center"/>
          </w:tcPr>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商学院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rPr>
              <w:t>S02D1001</w:t>
            </w:r>
          </w:p>
        </w:tc>
        <w:tc>
          <w:tcPr>
            <w:tcW w:w="198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生物质转化原理与利用技术</w:t>
            </w:r>
          </w:p>
        </w:tc>
        <w:tc>
          <w:tcPr>
            <w:tcW w:w="70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16</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709"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石化学院</w:t>
            </w:r>
          </w:p>
        </w:tc>
        <w:tc>
          <w:tcPr>
            <w:tcW w:w="149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b/>
                <w:bCs/>
              </w:rPr>
            </w:pPr>
            <w:r>
              <w:rPr>
                <w:rFonts w:hint="eastAsia" w:ascii="宋体" w:hAnsi="宋体" w:eastAsia="宋体" w:cs="宋体"/>
                <w:b/>
                <w:bCs/>
              </w:rPr>
              <w:t>S12D1001</w:t>
            </w:r>
          </w:p>
        </w:tc>
        <w:tc>
          <w:tcPr>
            <w:tcW w:w="1984" w:type="dxa"/>
            <w:vAlign w:val="center"/>
          </w:tcPr>
          <w:p>
            <w:pPr>
              <w:jc w:val="left"/>
              <w:rPr>
                <w:rFonts w:ascii="Times New Roman" w:hAnsi="Times New Roman" w:eastAsia="宋体" w:cs="Times New Roman"/>
                <w:b/>
                <w:bCs/>
                <w:szCs w:val="21"/>
              </w:rPr>
            </w:pPr>
            <w:r>
              <w:rPr>
                <w:rFonts w:ascii="Times New Roman" w:hAnsi="Times New Roman" w:eastAsia="宋体" w:cs="Times New Roman"/>
                <w:b/>
                <w:bCs/>
                <w:szCs w:val="21"/>
              </w:rPr>
              <w:t>自然辩证法概论</w:t>
            </w:r>
          </w:p>
        </w:tc>
        <w:tc>
          <w:tcPr>
            <w:tcW w:w="708" w:type="dxa"/>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18</w:t>
            </w:r>
          </w:p>
        </w:tc>
        <w:tc>
          <w:tcPr>
            <w:tcW w:w="709" w:type="dxa"/>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1</w:t>
            </w:r>
          </w:p>
        </w:tc>
        <w:tc>
          <w:tcPr>
            <w:tcW w:w="709"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1</w:t>
            </w:r>
          </w:p>
        </w:tc>
        <w:tc>
          <w:tcPr>
            <w:tcW w:w="1274"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马克思学院</w:t>
            </w:r>
          </w:p>
        </w:tc>
        <w:tc>
          <w:tcPr>
            <w:tcW w:w="1498"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讲授</w:t>
            </w:r>
          </w:p>
        </w:tc>
        <w:tc>
          <w:tcPr>
            <w:tcW w:w="705" w:type="dxa"/>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1984" w:type="dxa"/>
            <w:vAlign w:val="center"/>
          </w:tcPr>
          <w:p>
            <w:pPr>
              <w:jc w:val="left"/>
              <w:rPr>
                <w:rFonts w:ascii="宋体" w:hAnsi="宋体" w:eastAsia="宋体" w:cs="宋体"/>
              </w:rPr>
            </w:pPr>
            <w:r>
              <w:rPr>
                <w:rFonts w:hint="eastAsia" w:ascii="宋体" w:hAnsi="宋体" w:eastAsia="宋体" w:cs="宋体"/>
                <w:color w:val="auto"/>
                <w:kern w:val="0"/>
                <w:szCs w:val="21"/>
                <w:highlight w:val="none"/>
                <w:lang w:bidi="ar"/>
              </w:rPr>
              <w:t>S02D100</w:t>
            </w:r>
            <w:r>
              <w:rPr>
                <w:rFonts w:hint="eastAsia" w:ascii="宋体" w:hAnsi="宋体" w:eastAsia="宋体" w:cs="宋体"/>
                <w:color w:val="auto"/>
                <w:kern w:val="0"/>
                <w:szCs w:val="21"/>
                <w:highlight w:val="none"/>
                <w:lang w:val="en-US" w:eastAsia="zh-CN" w:bidi="ar"/>
              </w:rPr>
              <w:t>2</w:t>
            </w:r>
          </w:p>
        </w:tc>
        <w:tc>
          <w:tcPr>
            <w:tcW w:w="1984" w:type="dxa"/>
            <w:vAlign w:val="center"/>
          </w:tcPr>
          <w:p>
            <w:pPr>
              <w:jc w:val="left"/>
              <w:rPr>
                <w:rFonts w:ascii="Times New Roman" w:hAnsi="Times New Roman" w:eastAsia="宋体" w:cs="Times New Roman"/>
                <w:szCs w:val="21"/>
              </w:rPr>
            </w:pPr>
            <w:r>
              <w:rPr>
                <w:rFonts w:hint="eastAsia" w:ascii="宋体" w:hAnsi="宋体" w:eastAsia="宋体" w:cs="宋体"/>
                <w:color w:val="auto"/>
                <w:kern w:val="0"/>
                <w:szCs w:val="21"/>
                <w:highlight w:val="none"/>
                <w:lang w:bidi="ar"/>
              </w:rPr>
              <w:t>能源与环境发展战略</w:t>
            </w:r>
          </w:p>
        </w:tc>
        <w:tc>
          <w:tcPr>
            <w:tcW w:w="708" w:type="dxa"/>
            <w:vAlign w:val="center"/>
          </w:tcPr>
          <w:p>
            <w:pPr>
              <w:rPr>
                <w:rFonts w:ascii="Times New Roman" w:hAnsi="Times New Roman" w:eastAsia="宋体" w:cs="Times New Roman"/>
                <w:szCs w:val="21"/>
              </w:rPr>
            </w:pPr>
            <w:r>
              <w:rPr>
                <w:rFonts w:ascii="Times New Roman" w:hAnsi="Times New Roman" w:eastAsia="宋体" w:cs="Times New Roman"/>
                <w:szCs w:val="21"/>
              </w:rPr>
              <w:t>16</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1</w:t>
            </w:r>
          </w:p>
        </w:tc>
        <w:tc>
          <w:tcPr>
            <w:tcW w:w="709" w:type="dxa"/>
            <w:vAlign w:val="center"/>
          </w:tcPr>
          <w:p>
            <w:pPr>
              <w:rPr>
                <w:rFonts w:ascii="Times New Roman" w:hAnsi="Times New Roman" w:eastAsia="宋体" w:cs="Times New Roman"/>
                <w:szCs w:val="21"/>
              </w:rPr>
            </w:pPr>
            <w:r>
              <w:rPr>
                <w:rFonts w:ascii="Times New Roman" w:hAnsi="Times New Roman" w:eastAsia="宋体" w:cs="Times New Roman"/>
                <w:szCs w:val="21"/>
              </w:rPr>
              <w:t>1</w:t>
            </w:r>
          </w:p>
        </w:tc>
        <w:tc>
          <w:tcPr>
            <w:tcW w:w="1274"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lang w:val="en-US" w:eastAsia="zh-CN"/>
              </w:rPr>
              <w:t>环境</w:t>
            </w:r>
            <w:r>
              <w:rPr>
                <w:rFonts w:ascii="Times New Roman" w:hAnsi="Times New Roman" w:eastAsia="宋体" w:cs="Times New Roman"/>
                <w:szCs w:val="21"/>
              </w:rPr>
              <w:t>学院</w:t>
            </w:r>
          </w:p>
        </w:tc>
        <w:tc>
          <w:tcPr>
            <w:tcW w:w="1498" w:type="dxa"/>
            <w:vAlign w:val="center"/>
          </w:tcPr>
          <w:p>
            <w:pPr>
              <w:rPr>
                <w:rFonts w:ascii="Times New Roman" w:hAnsi="Times New Roman" w:eastAsia="宋体" w:cs="Times New Roman"/>
                <w:szCs w:val="21"/>
              </w:rPr>
            </w:pPr>
            <w:r>
              <w:rPr>
                <w:rFonts w:ascii="Times New Roman" w:hAnsi="Times New Roman" w:eastAsia="宋体" w:cs="Times New Roman"/>
                <w:szCs w:val="21"/>
              </w:rPr>
              <w:t>讲授</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考查</w:t>
            </w:r>
          </w:p>
        </w:tc>
        <w:tc>
          <w:tcPr>
            <w:tcW w:w="581" w:type="dxa"/>
            <w:vMerge w:val="continue"/>
            <w:vAlign w:val="center"/>
          </w:tcPr>
          <w:p>
            <w:pPr>
              <w:widowControl/>
              <w:jc w:val="lef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restart"/>
            <w:vAlign w:val="center"/>
          </w:tcPr>
          <w:p>
            <w:pPr>
              <w:rPr>
                <w:rFonts w:ascii="Times New Roman" w:hAnsi="Times New Roman" w:eastAsia="宋体" w:cs="Times New Roman"/>
                <w:szCs w:val="21"/>
              </w:rPr>
            </w:pPr>
            <w:r>
              <w:rPr>
                <w:rFonts w:ascii="Times New Roman" w:hAnsi="Times New Roman" w:eastAsia="宋体" w:cs="Times New Roman"/>
                <w:szCs w:val="21"/>
              </w:rPr>
              <w:t>实践</w:t>
            </w:r>
          </w:p>
          <w:p>
            <w:pPr>
              <w:widowControl/>
              <w:jc w:val="left"/>
              <w:rPr>
                <w:rFonts w:ascii="Times New Roman" w:hAnsi="Times New Roman" w:eastAsia="宋体" w:cs="Times New Roman"/>
                <w:szCs w:val="21"/>
              </w:rPr>
            </w:pPr>
            <w:r>
              <w:rPr>
                <w:rFonts w:ascii="Times New Roman" w:hAnsi="Times New Roman" w:eastAsia="宋体" w:cs="Times New Roman"/>
                <w:szCs w:val="21"/>
              </w:rPr>
              <w:t>环节</w:t>
            </w:r>
          </w:p>
        </w:tc>
        <w:tc>
          <w:tcPr>
            <w:tcW w:w="8866" w:type="dxa"/>
            <w:gridSpan w:val="7"/>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学术活动（听讲座次数≥15次）</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考核</w:t>
            </w:r>
          </w:p>
        </w:tc>
        <w:tc>
          <w:tcPr>
            <w:tcW w:w="58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13" w:type="dxa"/>
            <w:vMerge w:val="continue"/>
            <w:vAlign w:val="center"/>
          </w:tcPr>
          <w:p>
            <w:pPr>
              <w:widowControl/>
              <w:jc w:val="left"/>
              <w:rPr>
                <w:rFonts w:ascii="Times New Roman" w:hAnsi="Times New Roman" w:eastAsia="宋体" w:cs="Times New Roman"/>
                <w:szCs w:val="21"/>
              </w:rPr>
            </w:pPr>
          </w:p>
        </w:tc>
        <w:tc>
          <w:tcPr>
            <w:tcW w:w="8866" w:type="dxa"/>
            <w:gridSpan w:val="7"/>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实践活动</w:t>
            </w:r>
          </w:p>
        </w:tc>
        <w:tc>
          <w:tcPr>
            <w:tcW w:w="705" w:type="dxa"/>
            <w:vAlign w:val="center"/>
          </w:tcPr>
          <w:p>
            <w:pPr>
              <w:rPr>
                <w:rFonts w:ascii="Times New Roman" w:hAnsi="Times New Roman" w:eastAsia="宋体" w:cs="Times New Roman"/>
                <w:szCs w:val="21"/>
              </w:rPr>
            </w:pPr>
            <w:r>
              <w:rPr>
                <w:rFonts w:ascii="Times New Roman" w:hAnsi="Times New Roman" w:eastAsia="宋体" w:cs="Times New Roman"/>
                <w:szCs w:val="21"/>
              </w:rPr>
              <w:t>考核</w:t>
            </w:r>
          </w:p>
        </w:tc>
        <w:tc>
          <w:tcPr>
            <w:tcW w:w="58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1学分</w:t>
            </w:r>
          </w:p>
        </w:tc>
      </w:tr>
    </w:tbl>
    <w:p>
      <w:pPr>
        <w:pStyle w:val="6"/>
        <w:rPr>
          <w:rFonts w:hint="default" w:eastAsia="宋体"/>
          <w:highlight w:val="none"/>
          <w:lang w:val="en-US" w:eastAsia="zh-CN"/>
        </w:rPr>
      </w:pPr>
      <w:bookmarkStart w:id="0" w:name="_GoBack"/>
      <w:r>
        <w:rPr>
          <w:rFonts w:hint="eastAsia" w:ascii="宋体" w:hAnsi="宋体"/>
          <w:b/>
          <w:bCs/>
          <w:highlight w:val="none"/>
        </w:rPr>
        <w:t>注：*核心课程；</w:t>
      </w:r>
      <w:r>
        <w:rPr>
          <w:rFonts w:hint="eastAsia"/>
          <w:b/>
          <w:bCs/>
          <w:highlight w:val="none"/>
        </w:rPr>
        <w:t>注：*核心专业课程；</w:t>
      </w:r>
      <w:r>
        <w:rPr>
          <w:rFonts w:hint="eastAsia"/>
          <w:b/>
          <w:bCs/>
          <w:highlight w:val="none"/>
          <w:lang w:val="en-US" w:eastAsia="zh-CN"/>
        </w:rPr>
        <w:t>B类课</w:t>
      </w:r>
      <w:r>
        <w:rPr>
          <w:rFonts w:ascii="Times New Roman" w:hAnsi="Times New Roman" w:eastAsia="宋体" w:cs="Times New Roman"/>
          <w:b/>
          <w:bCs/>
          <w:szCs w:val="21"/>
        </w:rPr>
        <w:t>工程伦理（必选）</w:t>
      </w:r>
      <w:r>
        <w:rPr>
          <w:rFonts w:hint="eastAsia" w:cs="Times New Roman"/>
          <w:b/>
          <w:bCs/>
          <w:szCs w:val="21"/>
          <w:lang w:eastAsia="zh-CN"/>
        </w:rPr>
        <w:t>、</w:t>
      </w:r>
      <w:r>
        <w:rPr>
          <w:rFonts w:hint="eastAsia"/>
          <w:b/>
          <w:bCs/>
          <w:highlight w:val="none"/>
        </w:rPr>
        <w:t>D类课《自然辨证法概论》</w:t>
      </w:r>
      <w:r>
        <w:rPr>
          <w:rFonts w:hint="eastAsia"/>
          <w:b/>
          <w:bCs/>
          <w:highlight w:val="none"/>
          <w:lang w:eastAsia="zh-CN"/>
        </w:rPr>
        <w:t>、</w:t>
      </w:r>
      <w:r>
        <w:rPr>
          <w:rFonts w:hint="eastAsia"/>
          <w:b/>
          <w:bCs/>
          <w:highlight w:val="none"/>
          <w:lang w:val="en-US" w:eastAsia="zh-CN"/>
        </w:rPr>
        <w:t>C类课</w:t>
      </w:r>
      <w:r>
        <w:rPr>
          <w:rFonts w:hint="eastAsia"/>
          <w:b/>
          <w:bCs/>
          <w:highlight w:val="none"/>
        </w:rPr>
        <w:t>《</w:t>
      </w:r>
      <w:r>
        <w:rPr>
          <w:rFonts w:ascii="Times New Roman" w:hAnsi="Times New Roman" w:eastAsia="宋体" w:cs="Times New Roman"/>
          <w:b/>
          <w:bCs/>
          <w:szCs w:val="21"/>
        </w:rPr>
        <w:t>文献检索与阅读（必选）</w:t>
      </w:r>
      <w:r>
        <w:rPr>
          <w:rFonts w:hint="eastAsia"/>
          <w:b/>
          <w:bCs/>
          <w:highlight w:val="none"/>
        </w:rPr>
        <w:t>》</w:t>
      </w:r>
      <w:r>
        <w:rPr>
          <w:rFonts w:hint="eastAsia"/>
          <w:b/>
          <w:bCs/>
          <w:highlight w:val="none"/>
          <w:lang w:eastAsia="zh-CN"/>
        </w:rPr>
        <w:t>，</w:t>
      </w:r>
      <w:r>
        <w:rPr>
          <w:rFonts w:hint="eastAsia"/>
          <w:b/>
          <w:bCs/>
          <w:highlight w:val="none"/>
          <w:lang w:val="en-US" w:eastAsia="zh-CN"/>
        </w:rPr>
        <w:t>这三门课程必选。</w:t>
      </w:r>
      <w:bookmarkEnd w:id="0"/>
    </w:p>
    <w:p>
      <w:pPr>
        <w:pStyle w:val="6"/>
        <w:overflowPunct w:val="0"/>
        <w:ind w:left="0" w:leftChars="0" w:firstLine="0" w:firstLineChars="0"/>
        <w:rPr>
          <w:highlight w:val="none"/>
        </w:rPr>
      </w:pPr>
    </w:p>
    <w:p>
      <w:pPr>
        <w:numPr>
          <w:ilvl w:val="0"/>
          <w:numId w:val="2"/>
        </w:numPr>
        <w:tabs>
          <w:tab w:val="left" w:pos="0"/>
        </w:tabs>
        <w:spacing w:before="156" w:beforeLines="50" w:after="156" w:afterLines="5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实践环节管理</w:t>
      </w:r>
    </w:p>
    <w:p>
      <w:pPr>
        <w:pStyle w:val="5"/>
        <w:tabs>
          <w:tab w:val="left" w:pos="0"/>
        </w:tabs>
        <w:spacing w:line="360" w:lineRule="auto"/>
        <w:ind w:firstLine="48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1、学术活动（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pStyle w:val="5"/>
        <w:tabs>
          <w:tab w:val="left" w:pos="0"/>
        </w:tabs>
        <w:spacing w:line="360" w:lineRule="auto"/>
        <w:ind w:firstLine="48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学术学位硕士研究生在学期间必须参加至少十五次校内外学术研讨活动，其中至少两次为人文美学素质类讲座，总数至少达十五次者才能取得学术活动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pStyle w:val="5"/>
        <w:tabs>
          <w:tab w:val="left" w:pos="0"/>
        </w:tabs>
        <w:spacing w:line="360" w:lineRule="auto"/>
        <w:ind w:firstLine="48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2、实践活动（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pStyle w:val="5"/>
        <w:tabs>
          <w:tab w:val="left" w:pos="0"/>
        </w:tabs>
        <w:spacing w:line="360" w:lineRule="auto"/>
        <w:ind w:firstLine="480"/>
        <w:rPr>
          <w:rFonts w:hint="eastAsia" w:ascii="宋体" w:hAnsi="宋体" w:eastAsia="宋体"/>
          <w:color w:val="000000"/>
          <w:sz w:val="24"/>
          <w:szCs w:val="24"/>
          <w:highlight w:val="none"/>
        </w:rPr>
      </w:pPr>
      <w:r>
        <w:rPr>
          <w:rFonts w:ascii="宋体" w:hAnsi="宋体" w:eastAsia="宋体"/>
          <w:color w:val="000000"/>
          <w:sz w:val="24"/>
          <w:szCs w:val="24"/>
          <w:highlight w:val="none"/>
        </w:rPr>
        <w:t xml:space="preserve">学术学位硕士研究生在学习期间必须参加研究生科技论坛、研究生暑期学校、研究生学术创新论坛、研究生科研创新实践大赛、高级别国际、国内学术会议或国（境）外交流访学、劳动实践等学术实践活动之一，以及参加校级以上体育运动会、学院组织实践项目等活动，才能取得实践活动 </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 xml:space="preserve"> 学分。</w:t>
      </w:r>
    </w:p>
    <w:p>
      <w:pPr>
        <w:numPr>
          <w:ilvl w:val="0"/>
          <w:numId w:val="2"/>
        </w:numPr>
        <w:tabs>
          <w:tab w:val="left" w:pos="0"/>
        </w:tabs>
        <w:spacing w:before="156" w:beforeLines="50" w:after="156" w:afterLines="50"/>
        <w:rPr>
          <w:rFonts w:hint="eastAsia" w:ascii="宋体" w:hAnsi="宋体" w:eastAsia="宋体" w:cs="Times New Roman"/>
          <w:b/>
          <w:bCs/>
          <w:sz w:val="24"/>
          <w:szCs w:val="24"/>
          <w:highlight w:val="none"/>
        </w:rPr>
      </w:pPr>
      <w:r>
        <w:rPr>
          <w:rFonts w:ascii="宋体" w:hAnsi="宋体" w:eastAsia="宋体" w:cs="Times New Roman"/>
          <w:b/>
          <w:bCs/>
          <w:sz w:val="24"/>
          <w:szCs w:val="24"/>
          <w:highlight w:val="none"/>
        </w:rPr>
        <w:t>学位论文工作</w:t>
      </w:r>
    </w:p>
    <w:p>
      <w:pPr>
        <w:pStyle w:val="6"/>
        <w:rPr>
          <w:rFonts w:hint="eastAsia"/>
          <w:highlight w:val="none"/>
        </w:rPr>
      </w:pPr>
      <w:r>
        <w:rPr>
          <w:rFonts w:hint="eastAsia"/>
          <w:highlight w:val="none"/>
        </w:rPr>
        <w:t>详见《常州大学学术学位硕士研究生培养方案（总则）》要求。</w:t>
      </w:r>
    </w:p>
    <w:p>
      <w:pPr>
        <w:numPr>
          <w:ilvl w:val="0"/>
          <w:numId w:val="2"/>
        </w:numPr>
        <w:tabs>
          <w:tab w:val="left" w:pos="0"/>
        </w:tabs>
        <w:spacing w:before="156" w:beforeLines="50" w:after="156" w:afterLines="50"/>
        <w:rPr>
          <w:rFonts w:ascii="宋体" w:hAnsi="宋体" w:eastAsia="宋体" w:cs="Times New Roman"/>
          <w:b/>
          <w:bCs/>
          <w:sz w:val="24"/>
          <w:szCs w:val="24"/>
          <w:highlight w:val="none"/>
        </w:rPr>
      </w:pPr>
      <w:r>
        <w:rPr>
          <w:rFonts w:ascii="宋体" w:hAnsi="宋体" w:eastAsia="宋体" w:cs="Times New Roman"/>
          <w:b/>
          <w:bCs/>
          <w:sz w:val="24"/>
          <w:szCs w:val="24"/>
          <w:highlight w:val="none"/>
        </w:rPr>
        <w:t>毕业和授予学位标准</w:t>
      </w:r>
    </w:p>
    <w:p>
      <w:r>
        <w:rPr>
          <w:rStyle w:val="7"/>
          <w:sz w:val="24"/>
          <w:szCs w:val="24"/>
          <w:highlight w:val="none"/>
        </w:rPr>
        <w:t>毕业和授予学位标准按学校有关规定执行</w:t>
      </w:r>
      <w:r>
        <w:rPr>
          <w:rFonts w:hint="eastAsia"/>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359"/>
    <w:multiLevelType w:val="multilevel"/>
    <w:tmpl w:val="1CD55359"/>
    <w:lvl w:ilvl="0" w:tentative="0">
      <w:start w:val="1"/>
      <w:numFmt w:val="chineseCountingThousand"/>
      <w:suff w:val="space"/>
      <w:lvlText w:val="%1、"/>
      <w:lvlJc w:val="left"/>
      <w:pPr>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25557A28"/>
    <w:multiLevelType w:val="multilevel"/>
    <w:tmpl w:val="25557A2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FD8487A"/>
    <w:multiLevelType w:val="multilevel"/>
    <w:tmpl w:val="4FD8487A"/>
    <w:lvl w:ilvl="0" w:tentative="0">
      <w:start w:val="1"/>
      <w:numFmt w:val="decimal"/>
      <w:pStyle w:val="4"/>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14D641C"/>
    <w:rsid w:val="01DE1080"/>
    <w:rsid w:val="0AE20526"/>
    <w:rsid w:val="1B594193"/>
    <w:rsid w:val="225D0766"/>
    <w:rsid w:val="22D12F02"/>
    <w:rsid w:val="2A0A6A73"/>
    <w:rsid w:val="2B8D373E"/>
    <w:rsid w:val="3A7163B1"/>
    <w:rsid w:val="3F966128"/>
    <w:rsid w:val="4D9E5647"/>
    <w:rsid w:val="4E78244C"/>
    <w:rsid w:val="57D92E40"/>
    <w:rsid w:val="596D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2级标题"/>
    <w:basedOn w:val="5"/>
    <w:next w:val="1"/>
    <w:qFormat/>
    <w:uiPriority w:val="0"/>
    <w:pPr>
      <w:numPr>
        <w:ilvl w:val="0"/>
        <w:numId w:val="1"/>
      </w:numPr>
      <w:ind w:left="0" w:firstLine="0" w:firstLineChars="0"/>
      <w:outlineLvl w:val="1"/>
    </w:pPr>
    <w:rPr>
      <w:rFonts w:ascii="黑体" w:hAnsi="黑体" w:eastAsia="黑体"/>
      <w:sz w:val="24"/>
      <w:szCs w:val="24"/>
    </w:rPr>
  </w:style>
  <w:style w:type="paragraph" w:styleId="5">
    <w:name w:val="List Paragraph"/>
    <w:basedOn w:val="1"/>
    <w:qFormat/>
    <w:uiPriority w:val="34"/>
    <w:pPr>
      <w:ind w:firstLine="420" w:firstLineChars="200"/>
    </w:pPr>
  </w:style>
  <w:style w:type="paragraph" w:customStyle="1" w:styleId="6">
    <w:name w:val="正文样式"/>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7">
    <w:name w:val="fontstyle01"/>
    <w:basedOn w:val="2"/>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2023-07-26T01:56:00Z</dcterms:created>
  <dc:creator>Windows</dc:creator>
  <cp:lastModifiedBy>syhgxy</cp:lastModifiedBy>
  <dcterms:modified xsi:type="dcterms:W3CDTF">2023-09-14T04:58:57Z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ICV">
    <vt:lpwstr>666EBA8146244A4DBCEC3E74B2EB9B5C_12</vt:lpwstr>
  </property>
</Properties>
</file>