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703</w:t>
      </w:r>
      <w:r>
        <w:rPr>
          <w:rFonts w:hint="eastAsia"/>
          <w:color w:val="000000" w:themeColor="text1"/>
          <w14:textFill>
            <w14:solidFill>
              <w14:schemeClr w14:val="tx1"/>
            </w14:solidFill>
          </w14:textFill>
        </w:rPr>
        <w:t>化学</w:t>
      </w:r>
    </w:p>
    <w:p>
      <w:pPr>
        <w:ind w:firstLine="560"/>
        <w:jc w:val="center"/>
        <w:rPr>
          <w:rFonts w:ascii="宋体" w:hAnsi="宋体" w:eastAsia="宋体" w:cs="Times New Roman"/>
          <w:sz w:val="28"/>
          <w:szCs w:val="28"/>
        </w:rPr>
      </w:pPr>
      <w:r>
        <w:rPr>
          <w:rFonts w:hint="eastAsia" w:ascii="宋体" w:hAnsi="宋体" w:eastAsia="宋体" w:cs="Times New Roman"/>
          <w:sz w:val="28"/>
          <w:szCs w:val="28"/>
        </w:rPr>
        <w:t>化学</w:t>
      </w:r>
    </w:p>
    <w:p>
      <w:pPr>
        <w:ind w:firstLine="560"/>
        <w:jc w:val="center"/>
        <w:rPr>
          <w:rFonts w:ascii="Times New Roman" w:hAnsi="Times New Roman" w:eastAsia="宋体" w:cs="Times New Roman"/>
          <w:sz w:val="24"/>
          <w:szCs w:val="24"/>
        </w:rPr>
      </w:pPr>
      <w:r>
        <w:rPr>
          <w:rFonts w:ascii="Times New Roman" w:hAnsi="Times New Roman" w:eastAsia="宋体" w:cs="Times New Roman"/>
          <w:sz w:val="24"/>
          <w:szCs w:val="24"/>
        </w:rPr>
        <w:t>专业代码（0703）</w:t>
      </w:r>
    </w:p>
    <w:p>
      <w:pPr>
        <w:numPr>
          <w:ilvl w:val="0"/>
          <w:numId w:val="3"/>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学科简介</w:t>
      </w:r>
    </w:p>
    <w:p>
      <w:pPr>
        <w:pStyle w:val="7"/>
      </w:pPr>
      <w:r>
        <w:t>常州大学化学学科是江苏省“十四五”重点培育学科,下设有机化学、无机化学、物理化学、分析化学、高分子化学与物理五个二级学科。面向化学化工传统产业和新材料、生物医药和新能源等新兴产业中的化学关键科学问题开展研究，形成了有机合成化学、无机材料化学、微纳界面电化学、光谱分析化学和功能高分子化学等学科方向。</w:t>
      </w:r>
    </w:p>
    <w:p>
      <w:pPr>
        <w:pStyle w:val="7"/>
      </w:pPr>
      <w:r>
        <w:t>学科队伍结构合理，创新能力强。专任教师中教授</w:t>
      </w:r>
      <w:r>
        <w:rPr>
          <w:rFonts w:hint="eastAsia"/>
        </w:rPr>
        <w:t>32</w:t>
      </w:r>
      <w:r>
        <w:t>人，副教授</w:t>
      </w:r>
      <w:r>
        <w:rPr>
          <w:rFonts w:hint="eastAsia"/>
        </w:rPr>
        <w:t>27</w:t>
      </w:r>
      <w:r>
        <w:t>人，博士生导师5人，具有博士学位的教师比例超过9</w:t>
      </w:r>
      <w:r>
        <w:rPr>
          <w:rFonts w:hint="eastAsia"/>
        </w:rPr>
        <w:t>5</w:t>
      </w:r>
      <w:r>
        <w:t>%，具有海外研修经历的教师比例达75%。拥有国务院政府特殊津贴获得者2人，国家百千万人才1人，江苏省333工程（第二层次）1人，江苏省特聘教授</w:t>
      </w:r>
      <w:r>
        <w:rPr>
          <w:rFonts w:hint="eastAsia"/>
        </w:rPr>
        <w:t>3</w:t>
      </w:r>
      <w:r>
        <w:t>人，江苏省“双创”人才</w:t>
      </w:r>
      <w:r>
        <w:rPr>
          <w:rFonts w:hint="eastAsia"/>
        </w:rPr>
        <w:t>3</w:t>
      </w:r>
      <w:r>
        <w:t>人，江苏省教学名师1人，省科技创新团队3个。</w:t>
      </w:r>
    </w:p>
    <w:p>
      <w:pPr>
        <w:pStyle w:val="7"/>
        <w:rPr>
          <w:rStyle w:val="3"/>
          <w:rFonts w:asciiTheme="minorHAnsi" w:hAnsiTheme="minorHAnsi" w:eastAsiaTheme="minorEastAsia" w:cstheme="minorBidi"/>
        </w:rPr>
      </w:pPr>
      <w:r>
        <w:t>学科实力发展强劲。近五年在有机合成、无机功能材料、电化学、功能聚合物等研究领域取得了一批代表性成果，在</w:t>
      </w:r>
      <w:r>
        <w:rPr>
          <w:i/>
        </w:rPr>
        <w:t>Chem. Soc. Rev.</w:t>
      </w:r>
      <w:r>
        <w:t xml:space="preserve">、 </w:t>
      </w:r>
      <w:r>
        <w:rPr>
          <w:i/>
        </w:rPr>
        <w:t>J</w:t>
      </w:r>
      <w:r>
        <w:rPr>
          <w:rFonts w:hint="eastAsia"/>
          <w:i/>
        </w:rPr>
        <w:t>. Am. Chem. Soc.</w:t>
      </w:r>
      <w:r>
        <w:t xml:space="preserve">、 </w:t>
      </w:r>
      <w:r>
        <w:rPr>
          <w:i/>
        </w:rPr>
        <w:t>Angew. Chem. Int. Ed.</w:t>
      </w:r>
      <w:r>
        <w:t>、</w:t>
      </w:r>
      <w:r>
        <w:rPr>
          <w:i/>
        </w:rPr>
        <w:t>Adv. Mater.</w:t>
      </w:r>
      <w:r>
        <w:t>等期刊上发表了一批高水平论文。近五年先后承担省部级以上项目</w:t>
      </w:r>
      <w:r>
        <w:rPr>
          <w:rFonts w:hint="eastAsia"/>
        </w:rPr>
        <w:t>90</w:t>
      </w:r>
      <w:r>
        <w:t>余项，其中</w:t>
      </w:r>
      <w:r>
        <w:rPr>
          <w:rFonts w:hint="eastAsia"/>
        </w:rPr>
        <w:t>国家自然科学基金重点项目1项，</w:t>
      </w:r>
      <w:r>
        <w:t>国家自然科学基金项目</w:t>
      </w:r>
      <w:r>
        <w:rPr>
          <w:rFonts w:hint="eastAsia"/>
        </w:rPr>
        <w:t>24</w:t>
      </w:r>
      <w:r>
        <w:t>项；获省部级以上科技奖励</w:t>
      </w:r>
      <w:r>
        <w:rPr>
          <w:rFonts w:hint="eastAsia"/>
        </w:rPr>
        <w:t>4</w:t>
      </w:r>
      <w:r>
        <w:t>项</w:t>
      </w:r>
      <w:r>
        <w:rPr>
          <w:rFonts w:hint="eastAsia"/>
        </w:rPr>
        <w:t>；科研经费1亿余元</w:t>
      </w:r>
      <w:r>
        <w:t>。</w:t>
      </w:r>
    </w:p>
    <w:p>
      <w:pPr>
        <w:pStyle w:val="7"/>
      </w:pPr>
      <w:r>
        <w:t>学科拥有包括国家地方联合工程研究中心、国家级实验教学示范中心、省协同创新中心、省部级重点实验室等在内的11个国家和省部级教学科研平台，拥有</w:t>
      </w:r>
      <w:r>
        <w:rPr>
          <w:rFonts w:hint="eastAsia"/>
        </w:rPr>
        <w:t>400M和</w:t>
      </w:r>
      <w:r>
        <w:t>500M核磁共振波谱仪、高分辨透射电镜、X射线粉末衍射仪、X射线单晶衍射仪、哈克转矩流变仪系统、场发射扫描电镜、智能重量分析仪等一批先进分析测试仪器，为</w:t>
      </w:r>
      <w:r>
        <w:rPr>
          <w:rFonts w:hint="eastAsia"/>
        </w:rPr>
        <w:t>高素质创新型</w:t>
      </w:r>
      <w:r>
        <w:t>人才培养和科研创新提供了有力支撑。</w:t>
      </w:r>
    </w:p>
    <w:p>
      <w:pPr>
        <w:numPr>
          <w:ilvl w:val="0"/>
          <w:numId w:val="3"/>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培养目标</w:t>
      </w:r>
    </w:p>
    <w:p>
      <w:pPr>
        <w:pStyle w:val="7"/>
      </w:pPr>
      <w:r>
        <w:rPr>
          <w:rFonts w:hint="eastAsia"/>
        </w:rPr>
        <w:t>培养学生坚决拥护中国共产党的领导，树立正确的世界观、人生观和价值观，具有强烈的家国情怀、宽广的国际视野和良好的职业素养，遵纪守法，团结协作，学风严谨，勇于创新，乐于奉献。</w:t>
      </w:r>
    </w:p>
    <w:p>
      <w:pPr>
        <w:pStyle w:val="7"/>
        <w:rPr>
          <w:b/>
          <w:bCs/>
          <w:highlight w:val="none"/>
        </w:rPr>
      </w:pPr>
      <w:r>
        <w:rPr>
          <w:rFonts w:hint="eastAsia"/>
        </w:rPr>
        <w:t>培养学生具有化学专业领域全面、扎实的基础理论知识，并对本学科前沿和发展现状有全面深入的了解。培养具有独立从事科学研究、项目研发、技术管理、解决关键科学技术问题和学科交叉融合能力的高素质创新型人才。</w:t>
      </w:r>
      <w:r>
        <w:rPr>
          <w:rFonts w:hint="eastAsia"/>
          <w:highlight w:val="none"/>
        </w:rPr>
        <w:t>至少熟练掌握一门外国语言。</w:t>
      </w:r>
    </w:p>
    <w:p>
      <w:pPr>
        <w:numPr>
          <w:ilvl w:val="0"/>
          <w:numId w:val="3"/>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研究方向</w:t>
      </w:r>
    </w:p>
    <w:p>
      <w:pPr>
        <w:pStyle w:val="8"/>
        <w:numPr>
          <w:ilvl w:val="0"/>
          <w:numId w:val="4"/>
        </w:numPr>
        <w:ind w:left="0" w:firstLine="480" w:firstLineChars="200"/>
      </w:pPr>
      <w:r>
        <w:rPr>
          <w:rFonts w:hint="eastAsia"/>
          <w:shd w:val="clear" w:color="auto" w:fill="FFFFFF"/>
        </w:rPr>
        <w:t>无机功能材料；功能配合物</w:t>
      </w:r>
    </w:p>
    <w:p>
      <w:pPr>
        <w:pStyle w:val="8"/>
        <w:numPr>
          <w:ilvl w:val="0"/>
          <w:numId w:val="4"/>
        </w:numPr>
        <w:ind w:left="0" w:firstLine="480" w:firstLineChars="200"/>
        <w:rPr>
          <w:shd w:val="clear" w:color="auto" w:fill="FFFFFF"/>
        </w:rPr>
      </w:pPr>
      <w:r>
        <w:rPr>
          <w:rFonts w:hint="eastAsia"/>
          <w:shd w:val="clear" w:color="auto" w:fill="FFFFFF"/>
        </w:rPr>
        <w:t>电化学与生物传感器；色谱分析</w:t>
      </w:r>
    </w:p>
    <w:p>
      <w:pPr>
        <w:pStyle w:val="8"/>
        <w:numPr>
          <w:ilvl w:val="0"/>
          <w:numId w:val="4"/>
        </w:numPr>
        <w:ind w:left="0" w:firstLine="480" w:firstLineChars="200"/>
        <w:rPr>
          <w:shd w:val="clear" w:color="auto" w:fill="FFFFFF"/>
        </w:rPr>
      </w:pPr>
      <w:r>
        <w:rPr>
          <w:rFonts w:hint="eastAsia"/>
          <w:shd w:val="clear" w:color="auto" w:fill="FFFFFF"/>
        </w:rPr>
        <w:t>有机合成与分析；金属有机化学</w:t>
      </w:r>
    </w:p>
    <w:p>
      <w:pPr>
        <w:pStyle w:val="8"/>
        <w:numPr>
          <w:ilvl w:val="0"/>
          <w:numId w:val="4"/>
        </w:numPr>
        <w:ind w:left="0" w:firstLine="480" w:firstLineChars="200"/>
        <w:rPr>
          <w:shd w:val="clear" w:color="auto" w:fill="FFFFFF"/>
        </w:rPr>
      </w:pPr>
      <w:r>
        <w:rPr>
          <w:rFonts w:hint="eastAsia"/>
          <w:shd w:val="clear" w:color="auto" w:fill="FFFFFF"/>
        </w:rPr>
        <w:t>表面物理化学；催化化学；电化学</w:t>
      </w:r>
    </w:p>
    <w:p>
      <w:pPr>
        <w:pStyle w:val="8"/>
        <w:numPr>
          <w:ilvl w:val="0"/>
          <w:numId w:val="4"/>
        </w:numPr>
        <w:ind w:left="0" w:firstLine="480" w:firstLineChars="200"/>
        <w:rPr>
          <w:shd w:val="clear" w:color="auto" w:fill="FFFFFF"/>
        </w:rPr>
      </w:pPr>
      <w:r>
        <w:rPr>
          <w:rFonts w:hint="eastAsia"/>
          <w:shd w:val="clear" w:color="auto" w:fill="FFFFFF"/>
        </w:rPr>
        <w:t>聚合物材料的制备及应用研究；功能高分子材料的合成及性能</w:t>
      </w:r>
    </w:p>
    <w:p>
      <w:pPr>
        <w:numPr>
          <w:ilvl w:val="0"/>
          <w:numId w:val="3"/>
        </w:numPr>
        <w:tabs>
          <w:tab w:val="left" w:pos="0"/>
        </w:tabs>
        <w:spacing w:before="156" w:beforeLines="50" w:after="156" w:afterLines="5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学习年限及学分要求</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学术学位硕士研究生的学习年限一般为 3 年，最长学习年限不超过 5 年。</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 xml:space="preserve">学术型硕士研究生总学分最低要求为 </w:t>
      </w:r>
      <w:r>
        <w:rPr>
          <w:rFonts w:hint="eastAsia" w:ascii="宋体" w:hAnsi="宋体" w:eastAsia="宋体" w:cs="Times New Roman"/>
          <w:kern w:val="0"/>
          <w:sz w:val="24"/>
          <w:szCs w:val="24"/>
          <w:highlight w:val="none"/>
          <w:shd w:val="clear" w:color="auto" w:fill="FFFFFF"/>
        </w:rPr>
        <w:t>30</w:t>
      </w:r>
      <w:r>
        <w:rPr>
          <w:rFonts w:ascii="宋体" w:hAnsi="宋体" w:eastAsia="宋体" w:cs="Times New Roman"/>
          <w:kern w:val="0"/>
          <w:sz w:val="24"/>
          <w:szCs w:val="24"/>
          <w:highlight w:val="none"/>
          <w:shd w:val="clear" w:color="auto" w:fill="FFFFFF"/>
        </w:rPr>
        <w:t xml:space="preserve"> 学分，其中课程学分 </w:t>
      </w:r>
      <w:r>
        <w:rPr>
          <w:rFonts w:hint="eastAsia" w:ascii="宋体" w:hAnsi="宋体" w:eastAsia="宋体" w:cs="Times New Roman"/>
          <w:kern w:val="0"/>
          <w:sz w:val="24"/>
          <w:szCs w:val="24"/>
          <w:highlight w:val="none"/>
          <w:shd w:val="clear" w:color="auto" w:fill="FFFFFF"/>
        </w:rPr>
        <w:t>28</w:t>
      </w:r>
      <w:r>
        <w:rPr>
          <w:rFonts w:ascii="宋体" w:hAnsi="宋体" w:eastAsia="宋体" w:cs="Times New Roman"/>
          <w:kern w:val="0"/>
          <w:sz w:val="24"/>
          <w:szCs w:val="24"/>
          <w:highlight w:val="none"/>
          <w:shd w:val="clear" w:color="auto" w:fill="FFFFFF"/>
        </w:rPr>
        <w:t xml:space="preserve"> 学分（公共学位课程</w:t>
      </w:r>
      <w:r>
        <w:rPr>
          <w:rFonts w:hint="eastAsia" w:ascii="宋体" w:hAnsi="宋体" w:eastAsia="宋体" w:cs="Times New Roman"/>
          <w:kern w:val="0"/>
          <w:sz w:val="24"/>
          <w:szCs w:val="24"/>
          <w:highlight w:val="none"/>
          <w:shd w:val="clear" w:color="auto" w:fill="FFFFFF"/>
        </w:rPr>
        <w:t xml:space="preserve"> 10</w:t>
      </w:r>
      <w:r>
        <w:rPr>
          <w:rFonts w:ascii="宋体" w:hAnsi="宋体" w:eastAsia="宋体" w:cs="Times New Roman"/>
          <w:kern w:val="0"/>
          <w:sz w:val="24"/>
          <w:szCs w:val="24"/>
          <w:highlight w:val="none"/>
          <w:shd w:val="clear" w:color="auto" w:fill="FFFFFF"/>
        </w:rPr>
        <w:t xml:space="preserve"> 学分，</w:t>
      </w:r>
      <w:r>
        <w:rPr>
          <w:rFonts w:hint="eastAsia" w:ascii="宋体" w:hAnsi="宋体" w:eastAsia="宋体" w:cs="Times New Roman"/>
          <w:kern w:val="0"/>
          <w:sz w:val="24"/>
          <w:szCs w:val="24"/>
          <w:highlight w:val="none"/>
          <w:shd w:val="clear" w:color="auto" w:fill="FFFFFF"/>
        </w:rPr>
        <w:t>B类</w:t>
      </w:r>
      <w:r>
        <w:rPr>
          <w:rFonts w:ascii="宋体" w:hAnsi="宋体" w:eastAsia="宋体" w:cs="Times New Roman"/>
          <w:kern w:val="0"/>
          <w:sz w:val="24"/>
          <w:szCs w:val="24"/>
          <w:highlight w:val="none"/>
          <w:shd w:val="clear" w:color="auto" w:fill="FFFFFF"/>
        </w:rPr>
        <w:t xml:space="preserve">专业学位课程 </w:t>
      </w:r>
      <w:r>
        <w:rPr>
          <w:rFonts w:hint="eastAsia" w:ascii="宋体" w:hAnsi="宋体" w:eastAsia="宋体" w:cs="Times New Roman"/>
          <w:kern w:val="0"/>
          <w:sz w:val="24"/>
          <w:szCs w:val="24"/>
          <w:highlight w:val="none"/>
          <w:shd w:val="clear" w:color="auto" w:fill="FFFFFF"/>
        </w:rPr>
        <w:t>8</w:t>
      </w:r>
      <w:r>
        <w:rPr>
          <w:rFonts w:ascii="宋体" w:hAnsi="宋体" w:eastAsia="宋体" w:cs="Times New Roman"/>
          <w:kern w:val="0"/>
          <w:sz w:val="24"/>
          <w:szCs w:val="24"/>
          <w:highlight w:val="none"/>
          <w:shd w:val="clear" w:color="auto" w:fill="FFFFFF"/>
        </w:rPr>
        <w:t xml:space="preserve"> 学分，</w:t>
      </w:r>
      <w:r>
        <w:rPr>
          <w:rFonts w:hint="eastAsia" w:ascii="宋体" w:hAnsi="宋体" w:eastAsia="宋体" w:cs="Times New Roman"/>
          <w:kern w:val="0"/>
          <w:sz w:val="24"/>
          <w:szCs w:val="24"/>
          <w:highlight w:val="none"/>
          <w:shd w:val="clear" w:color="auto" w:fill="FFFFFF"/>
        </w:rPr>
        <w:t>C类</w:t>
      </w:r>
      <w:r>
        <w:rPr>
          <w:rFonts w:ascii="宋体" w:hAnsi="宋体" w:eastAsia="宋体" w:cs="Times New Roman"/>
          <w:kern w:val="0"/>
          <w:sz w:val="24"/>
          <w:szCs w:val="24"/>
          <w:highlight w:val="none"/>
          <w:shd w:val="clear" w:color="auto" w:fill="FFFFFF"/>
        </w:rPr>
        <w:t xml:space="preserve">专业选修课 </w:t>
      </w:r>
      <w:r>
        <w:rPr>
          <w:rFonts w:hint="eastAsia" w:ascii="宋体" w:hAnsi="宋体" w:eastAsia="宋体" w:cs="Times New Roman"/>
          <w:kern w:val="0"/>
          <w:sz w:val="24"/>
          <w:szCs w:val="24"/>
          <w:highlight w:val="none"/>
          <w:shd w:val="clear" w:color="auto" w:fill="FFFFFF"/>
        </w:rPr>
        <w:t>8</w:t>
      </w:r>
      <w:r>
        <w:rPr>
          <w:rFonts w:ascii="宋体" w:hAnsi="宋体" w:eastAsia="宋体" w:cs="Times New Roman"/>
          <w:kern w:val="0"/>
          <w:sz w:val="24"/>
          <w:szCs w:val="24"/>
          <w:highlight w:val="none"/>
          <w:shd w:val="clear" w:color="auto" w:fill="FFFFFF"/>
        </w:rPr>
        <w:t xml:space="preserve"> 学分，公共选修课 </w:t>
      </w:r>
      <w:r>
        <w:rPr>
          <w:rFonts w:hint="eastAsia" w:ascii="宋体" w:hAnsi="宋体" w:eastAsia="宋体" w:cs="Times New Roman"/>
          <w:kern w:val="0"/>
          <w:sz w:val="24"/>
          <w:szCs w:val="24"/>
          <w:highlight w:val="none"/>
          <w:shd w:val="clear" w:color="auto" w:fill="FFFFFF"/>
        </w:rPr>
        <w:t>2</w:t>
      </w:r>
      <w:r>
        <w:rPr>
          <w:rFonts w:ascii="宋体" w:hAnsi="宋体" w:eastAsia="宋体" w:cs="Times New Roman"/>
          <w:kern w:val="0"/>
          <w:sz w:val="24"/>
          <w:szCs w:val="24"/>
          <w:highlight w:val="none"/>
          <w:shd w:val="clear" w:color="auto" w:fill="FFFFFF"/>
        </w:rPr>
        <w:t xml:space="preserve"> 学分），参加学术讲座/报告（至少15次） </w:t>
      </w:r>
      <w:r>
        <w:rPr>
          <w:rFonts w:hint="eastAsia" w:ascii="宋体" w:hAnsi="宋体" w:eastAsia="宋体" w:cs="Times New Roman"/>
          <w:kern w:val="0"/>
          <w:sz w:val="24"/>
          <w:szCs w:val="24"/>
          <w:highlight w:val="none"/>
          <w:shd w:val="clear" w:color="auto" w:fill="FFFFFF"/>
        </w:rPr>
        <w:t>1</w:t>
      </w:r>
      <w:r>
        <w:rPr>
          <w:rFonts w:ascii="宋体" w:hAnsi="宋体" w:eastAsia="宋体" w:cs="Times New Roman"/>
          <w:kern w:val="0"/>
          <w:sz w:val="24"/>
          <w:szCs w:val="24"/>
          <w:highlight w:val="none"/>
          <w:shd w:val="clear" w:color="auto" w:fill="FFFFFF"/>
        </w:rPr>
        <w:t xml:space="preserve"> 学分，实践活动 </w:t>
      </w:r>
      <w:r>
        <w:rPr>
          <w:rFonts w:hint="eastAsia" w:ascii="宋体" w:hAnsi="宋体" w:eastAsia="宋体" w:cs="Times New Roman"/>
          <w:kern w:val="0"/>
          <w:sz w:val="24"/>
          <w:szCs w:val="24"/>
          <w:highlight w:val="none"/>
          <w:shd w:val="clear" w:color="auto" w:fill="FFFFFF"/>
        </w:rPr>
        <w:t>1</w:t>
      </w:r>
      <w:r>
        <w:rPr>
          <w:rFonts w:ascii="宋体" w:hAnsi="宋体" w:eastAsia="宋体" w:cs="Times New Roman"/>
          <w:kern w:val="0"/>
          <w:sz w:val="24"/>
          <w:szCs w:val="24"/>
          <w:highlight w:val="none"/>
          <w:shd w:val="clear" w:color="auto" w:fill="FFFFFF"/>
        </w:rPr>
        <w:t xml:space="preserve"> 学分。</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对于同等学力或转专业入学的硕士研究生必须补修所读学科的大学本科主干课程（不少于两门），补修课程只记成绩，不计学分，但应列入个人培养计划。</w:t>
      </w:r>
    </w:p>
    <w:p>
      <w:pPr>
        <w:pStyle w:val="7"/>
        <w:rPr>
          <w:rFonts w:hint="eastAsia"/>
          <w:highlight w:val="none"/>
        </w:rPr>
      </w:pPr>
      <w:r>
        <w:rPr>
          <w:rFonts w:hint="eastAsia"/>
          <w:highlight w:val="none"/>
        </w:rPr>
        <w:t>其它要求详见《常州大学学术学位硕士研究生培养方案（总则）》。</w:t>
      </w:r>
    </w:p>
    <w:p>
      <w:pPr>
        <w:numPr>
          <w:ilvl w:val="0"/>
          <w:numId w:val="3"/>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课程设置</w:t>
      </w:r>
    </w:p>
    <w:tbl>
      <w:tblPr>
        <w:tblStyle w:val="4"/>
        <w:tblpPr w:leftFromText="180" w:rightFromText="180" w:vertAnchor="text" w:horzAnchor="page" w:tblpX="984" w:tblpY="385"/>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7"/>
        <w:gridCol w:w="2591"/>
        <w:gridCol w:w="567"/>
        <w:gridCol w:w="567"/>
        <w:gridCol w:w="709"/>
        <w:gridCol w:w="1276"/>
        <w:gridCol w:w="879"/>
        <w:gridCol w:w="709"/>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1" w:hRule="atLeast"/>
        </w:trPr>
        <w:tc>
          <w:tcPr>
            <w:tcW w:w="638"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类别</w:t>
            </w:r>
          </w:p>
        </w:tc>
        <w:tc>
          <w:tcPr>
            <w:tcW w:w="170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tc>
        <w:tc>
          <w:tcPr>
            <w:tcW w:w="2591"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课程名称</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学分</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开课学期</w:t>
            </w:r>
          </w:p>
        </w:tc>
        <w:tc>
          <w:tcPr>
            <w:tcW w:w="1276"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开课学院</w:t>
            </w:r>
          </w:p>
        </w:tc>
        <w:tc>
          <w:tcPr>
            <w:tcW w:w="87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授课方式</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考试方式</w:t>
            </w:r>
          </w:p>
        </w:tc>
        <w:tc>
          <w:tcPr>
            <w:tcW w:w="672"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638"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A类学位课</w:t>
            </w:r>
          </w:p>
        </w:tc>
        <w:tc>
          <w:tcPr>
            <w:tcW w:w="1707" w:type="dxa"/>
            <w:vAlign w:val="center"/>
          </w:tcPr>
          <w:p>
            <w:pPr>
              <w:jc w:val="center"/>
              <w:rPr>
                <w:rFonts w:ascii="宋体" w:hAnsi="宋体" w:eastAsia="宋体" w:cs="宋体"/>
              </w:rPr>
            </w:pPr>
            <w:r>
              <w:rPr>
                <w:rFonts w:hint="eastAsia" w:ascii="宋体" w:hAnsi="宋体" w:eastAsia="宋体" w:cs="宋体"/>
              </w:rPr>
              <w:t>S12A1001</w:t>
            </w:r>
          </w:p>
        </w:tc>
        <w:tc>
          <w:tcPr>
            <w:tcW w:w="2591"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中国特色社会主义理论与实践研究</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马克思学院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宋体" w:hAnsi="宋体" w:eastAsia="宋体" w:cs="宋体"/>
              </w:rPr>
            </w:pPr>
            <w:r>
              <w:rPr>
                <w:rFonts w:hint="eastAsia" w:ascii="宋体" w:hAnsi="宋体" w:eastAsia="宋体" w:cs="宋体"/>
              </w:rPr>
              <w:t>S14A1003</w:t>
            </w:r>
          </w:p>
        </w:tc>
        <w:tc>
          <w:tcPr>
            <w:tcW w:w="2591"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第一外语--英语(学硕)</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108</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外国语</w:t>
            </w:r>
            <w:r>
              <w:rPr>
                <w:rFonts w:ascii="Times New Roman" w:hAnsi="Times New Roman" w:eastAsia="宋体" w:cs="Times New Roman"/>
                <w:szCs w:val="21"/>
              </w:rPr>
              <w:t>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lang w:val="en-US" w:eastAsia="zh-CN"/>
              </w:rPr>
              <w:t>S</w:t>
            </w:r>
            <w:r>
              <w:rPr>
                <w:rFonts w:hint="eastAsia" w:ascii="宋体" w:hAnsi="宋体" w:eastAsia="宋体" w:cs="宋体"/>
              </w:rPr>
              <w:t>02A1001</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波谱分析(理)</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8"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B类学位课</w:t>
            </w:r>
          </w:p>
        </w:tc>
        <w:tc>
          <w:tcPr>
            <w:tcW w:w="1707" w:type="dxa"/>
            <w:vAlign w:val="center"/>
          </w:tcPr>
          <w:p>
            <w:pPr>
              <w:jc w:val="center"/>
              <w:rPr>
                <w:rFonts w:ascii="Times New Roman" w:hAnsi="Times New Roman" w:eastAsia="宋体" w:cs="Times New Roman"/>
                <w:b/>
                <w:bCs/>
                <w:szCs w:val="21"/>
              </w:rPr>
            </w:pPr>
            <w:r>
              <w:rPr>
                <w:rFonts w:hint="eastAsia" w:ascii="宋体" w:hAnsi="宋体" w:eastAsia="宋体" w:cs="宋体"/>
                <w:b/>
                <w:bCs/>
              </w:rPr>
              <w:t>S02B1002</w:t>
            </w:r>
          </w:p>
        </w:tc>
        <w:tc>
          <w:tcPr>
            <w:tcW w:w="2591"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工程伦理（必选）</w:t>
            </w:r>
            <w:r>
              <w:rPr>
                <w:rFonts w:hint="eastAsia" w:ascii="Times New Roman" w:hAnsi="Times New Roman" w:eastAsia="宋体" w:cs="Times New Roman"/>
                <w:b/>
                <w:bCs/>
                <w:szCs w:val="21"/>
              </w:rPr>
              <w:t>*</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32</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2</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1</w:t>
            </w:r>
          </w:p>
        </w:tc>
        <w:tc>
          <w:tcPr>
            <w:tcW w:w="1276"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石化学院</w:t>
            </w:r>
          </w:p>
        </w:tc>
        <w:tc>
          <w:tcPr>
            <w:tcW w:w="879" w:type="dxa"/>
          </w:tcPr>
          <w:p>
            <w:pPr>
              <w:jc w:val="center"/>
              <w:rPr>
                <w:rFonts w:ascii="Times New Roman" w:hAnsi="Times New Roman" w:eastAsia="宋体" w:cs="Times New Roman"/>
                <w:b/>
                <w:bCs/>
                <w:szCs w:val="21"/>
              </w:rPr>
            </w:pPr>
            <w:r>
              <w:rPr>
                <w:rFonts w:ascii="Times New Roman" w:hAnsi="Times New Roman" w:eastAsia="宋体" w:cs="Times New Roman"/>
                <w:b/>
                <w:bCs/>
                <w:szCs w:val="21"/>
              </w:rPr>
              <w:t>讲授/研讨</w:t>
            </w:r>
          </w:p>
        </w:tc>
        <w:tc>
          <w:tcPr>
            <w:tcW w:w="709"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考试</w:t>
            </w:r>
          </w:p>
        </w:tc>
        <w:tc>
          <w:tcPr>
            <w:tcW w:w="672"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S02B1003</w:t>
            </w:r>
          </w:p>
        </w:tc>
        <w:tc>
          <w:tcPr>
            <w:tcW w:w="2591" w:type="dxa"/>
            <w:vAlign w:val="center"/>
          </w:tcPr>
          <w:p>
            <w:pPr>
              <w:rPr>
                <w:rFonts w:hint="eastAsia" w:ascii="Times New Roman" w:hAnsi="Times New Roman" w:eastAsia="宋体" w:cs="Times New Roman"/>
                <w:szCs w:val="21"/>
                <w:lang w:eastAsia="zh-CN"/>
              </w:rPr>
            </w:pPr>
            <w:r>
              <w:rPr>
                <w:rFonts w:ascii="Times New Roman" w:hAnsi="Times New Roman" w:eastAsia="宋体" w:cs="Times New Roman"/>
                <w:szCs w:val="21"/>
              </w:rPr>
              <w:t>高等无机化学</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理</w:t>
            </w:r>
            <w:r>
              <w:rPr>
                <w:rFonts w:hint="eastAsia" w:ascii="Times New Roman" w:hAnsi="Times New Roman" w:eastAsia="宋体" w:cs="Times New Roman"/>
                <w:szCs w:val="21"/>
                <w:lang w:eastAsia="zh-CN"/>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S02B1004</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高等有机化学</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S02B1005</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高等物理化学</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highlight w:val="none"/>
              </w:rPr>
            </w:pPr>
            <w:r>
              <w:rPr>
                <w:rFonts w:hint="eastAsia" w:ascii="宋体" w:hAnsi="宋体" w:eastAsia="宋体" w:cs="宋体"/>
                <w:highlight w:val="none"/>
              </w:rPr>
              <w:t>S01B1007</w:t>
            </w:r>
          </w:p>
        </w:tc>
        <w:tc>
          <w:tcPr>
            <w:tcW w:w="2591"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高等高分子化学</w:t>
            </w:r>
            <w:r>
              <w:rPr>
                <w:rFonts w:hint="eastAsia" w:ascii="Times New Roman" w:hAnsi="Times New Roman" w:eastAsia="宋体" w:cs="Times New Roman"/>
                <w:szCs w:val="21"/>
                <w:highlight w:val="none"/>
              </w:rPr>
              <w:t>*</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709"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127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材料学院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hint="eastAsia" w:ascii="宋体" w:hAnsi="宋体" w:eastAsia="宋体" w:cs="宋体"/>
                <w:highlight w:val="none"/>
              </w:rPr>
            </w:pPr>
            <w:r>
              <w:rPr>
                <w:rFonts w:hint="eastAsia" w:ascii="宋体" w:hAnsi="宋体" w:eastAsia="宋体" w:cs="宋体"/>
                <w:highlight w:val="none"/>
              </w:rPr>
              <w:t>S01B</w:t>
            </w:r>
            <w:r>
              <w:rPr>
                <w:rFonts w:hint="eastAsia" w:ascii="宋体" w:hAnsi="宋体" w:eastAsia="宋体" w:cs="宋体"/>
                <w:highlight w:val="none"/>
                <w:lang w:val="en-US" w:eastAsia="zh-CN"/>
              </w:rPr>
              <w:t>1</w:t>
            </w:r>
            <w:r>
              <w:rPr>
                <w:rFonts w:hint="eastAsia" w:ascii="宋体" w:hAnsi="宋体" w:eastAsia="宋体" w:cs="宋体"/>
                <w:highlight w:val="none"/>
              </w:rPr>
              <w:t>008</w:t>
            </w:r>
          </w:p>
        </w:tc>
        <w:tc>
          <w:tcPr>
            <w:tcW w:w="2591"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聚合物结构与性能</w:t>
            </w:r>
          </w:p>
        </w:tc>
        <w:tc>
          <w:tcPr>
            <w:tcW w:w="567" w:type="dxa"/>
            <w:vAlign w:val="center"/>
          </w:tcPr>
          <w:p>
            <w:pPr>
              <w:jc w:val="center"/>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szCs w:val="21"/>
                <w:highlight w:val="none"/>
              </w:rPr>
              <w:t>32</w:t>
            </w:r>
          </w:p>
        </w:tc>
        <w:tc>
          <w:tcPr>
            <w:tcW w:w="567" w:type="dxa"/>
            <w:vAlign w:val="center"/>
          </w:tcPr>
          <w:p>
            <w:pPr>
              <w:jc w:val="center"/>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szCs w:val="21"/>
                <w:highlight w:val="none"/>
              </w:rPr>
              <w:t>2</w:t>
            </w:r>
          </w:p>
        </w:tc>
        <w:tc>
          <w:tcPr>
            <w:tcW w:w="709" w:type="dxa"/>
            <w:vAlign w:val="center"/>
          </w:tcPr>
          <w:p>
            <w:pPr>
              <w:jc w:val="center"/>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szCs w:val="21"/>
                <w:highlight w:val="none"/>
              </w:rPr>
              <w:t>1</w:t>
            </w:r>
          </w:p>
        </w:tc>
        <w:tc>
          <w:tcPr>
            <w:tcW w:w="1276" w:type="dxa"/>
            <w:vAlign w:val="center"/>
          </w:tcPr>
          <w:p>
            <w:pPr>
              <w:jc w:val="center"/>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szCs w:val="21"/>
                <w:highlight w:val="none"/>
              </w:rPr>
              <w:t>材料学院</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S02B1006</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现代分析技术</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S02B1007</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高等结构化学</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S02B1008</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催化原理</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S02B1009</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现代有机合成</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S02B1010</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高等无机合成</w:t>
            </w:r>
            <w:r>
              <w:rPr>
                <w:rFonts w:hint="eastAsia"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C类专业选修课</w:t>
            </w:r>
          </w:p>
        </w:tc>
        <w:tc>
          <w:tcPr>
            <w:tcW w:w="1707" w:type="dxa"/>
            <w:vAlign w:val="center"/>
          </w:tcPr>
          <w:p>
            <w:pPr>
              <w:jc w:val="center"/>
              <w:rPr>
                <w:rFonts w:ascii="Times New Roman" w:hAnsi="Times New Roman" w:eastAsia="宋体" w:cs="Times New Roman"/>
                <w:b/>
                <w:bCs/>
                <w:szCs w:val="21"/>
              </w:rPr>
            </w:pPr>
            <w:r>
              <w:rPr>
                <w:rFonts w:hint="eastAsia" w:ascii="宋体" w:hAnsi="宋体" w:eastAsia="宋体" w:cs="宋体"/>
                <w:b/>
                <w:bCs/>
              </w:rPr>
              <w:t>S02C1001</w:t>
            </w:r>
          </w:p>
        </w:tc>
        <w:tc>
          <w:tcPr>
            <w:tcW w:w="2591"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文献检索与阅读（必选）</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32</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2</w:t>
            </w:r>
          </w:p>
        </w:tc>
        <w:tc>
          <w:tcPr>
            <w:tcW w:w="709" w:type="dxa"/>
            <w:vAlign w:val="center"/>
          </w:tcPr>
          <w:p>
            <w:pPr>
              <w:jc w:val="center"/>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lang w:val="en-US" w:eastAsia="zh-CN"/>
              </w:rPr>
              <w:t>2</w:t>
            </w:r>
          </w:p>
        </w:tc>
        <w:tc>
          <w:tcPr>
            <w:tcW w:w="1276"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石化学院</w:t>
            </w:r>
          </w:p>
        </w:tc>
        <w:tc>
          <w:tcPr>
            <w:tcW w:w="87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研讨</w:t>
            </w:r>
          </w:p>
        </w:tc>
        <w:tc>
          <w:tcPr>
            <w:tcW w:w="709"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考查</w:t>
            </w:r>
          </w:p>
        </w:tc>
        <w:tc>
          <w:tcPr>
            <w:tcW w:w="672"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highlight w:val="none"/>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S02C1002</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配位化学</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S02C1003</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应用电化学</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S02C1004</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绿色化学</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S02C1005</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金属有机化学</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S02C1006</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胶体与表面化学</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S02C1007</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色谱与分离方法</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S02C1008</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现代化学研究进展</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rPr>
            </w:pPr>
            <w:r>
              <w:rPr>
                <w:rFonts w:hint="eastAsia" w:ascii="宋体" w:hAnsi="宋体" w:eastAsia="宋体" w:cs="宋体"/>
              </w:rPr>
              <w:t>S02C1009</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专业英语与科技论文写作(理)</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石化学院</w:t>
            </w:r>
          </w:p>
        </w:tc>
        <w:tc>
          <w:tcPr>
            <w:tcW w:w="879" w:type="dxa"/>
          </w:tcPr>
          <w:p>
            <w:pPr>
              <w:jc w:val="center"/>
              <w:rPr>
                <w:rFonts w:ascii="Times New Roman" w:hAnsi="Times New Roman" w:eastAsia="宋体" w:cs="Times New Roman"/>
                <w:szCs w:val="21"/>
              </w:rPr>
            </w:pPr>
            <w:r>
              <w:rPr>
                <w:rFonts w:ascii="Times New Roman" w:hAnsi="Times New Roman" w:eastAsia="宋体" w:cs="Times New Roman"/>
                <w:szCs w:val="21"/>
              </w:rPr>
              <w:t>讲授/研讨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center"/>
              <w:rPr>
                <w:rFonts w:ascii="Times New Roman" w:hAnsi="Times New Roman" w:eastAsia="宋体" w:cs="Times New Roman"/>
                <w:szCs w:val="21"/>
              </w:rPr>
            </w:pPr>
          </w:p>
        </w:tc>
        <w:tc>
          <w:tcPr>
            <w:tcW w:w="1707" w:type="dxa"/>
            <w:vAlign w:val="center"/>
          </w:tcPr>
          <w:p>
            <w:pPr>
              <w:jc w:val="center"/>
              <w:rPr>
                <w:rFonts w:ascii="Times New Roman" w:hAnsi="Times New Roman" w:eastAsia="宋体" w:cs="Times New Roman"/>
                <w:szCs w:val="21"/>
                <w:highlight w:val="none"/>
              </w:rPr>
            </w:pPr>
            <w:r>
              <w:rPr>
                <w:rFonts w:hint="eastAsia" w:ascii="宋体" w:hAnsi="宋体" w:eastAsia="宋体" w:cs="宋体"/>
                <w:highlight w:val="none"/>
              </w:rPr>
              <w:t>S01C</w:t>
            </w:r>
            <w:r>
              <w:rPr>
                <w:rFonts w:hint="eastAsia" w:ascii="宋体" w:hAnsi="宋体" w:eastAsia="宋体" w:cs="宋体"/>
                <w:highlight w:val="none"/>
                <w:lang w:val="en-US" w:eastAsia="zh-CN"/>
              </w:rPr>
              <w:t>1</w:t>
            </w:r>
            <w:r>
              <w:rPr>
                <w:rFonts w:hint="eastAsia" w:ascii="宋体" w:hAnsi="宋体" w:eastAsia="宋体" w:cs="宋体"/>
                <w:highlight w:val="none"/>
              </w:rPr>
              <w:t>031</w:t>
            </w:r>
          </w:p>
        </w:tc>
        <w:tc>
          <w:tcPr>
            <w:tcW w:w="2591"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材料表面与界面</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709"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127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材料学院</w:t>
            </w:r>
          </w:p>
        </w:tc>
        <w:tc>
          <w:tcPr>
            <w:tcW w:w="879" w:type="dxa"/>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讲授/研讨</w:t>
            </w:r>
          </w:p>
        </w:tc>
        <w:tc>
          <w:tcPr>
            <w:tcW w:w="709"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tcBorders>
              <w:right w:val="single" w:color="auto" w:sz="4" w:space="0"/>
            </w:tcBorders>
            <w:vAlign w:val="center"/>
          </w:tcPr>
          <w:p>
            <w:pPr>
              <w:widowControl/>
              <w:jc w:val="center"/>
              <w:rPr>
                <w:rFonts w:ascii="Times New Roman" w:hAnsi="Times New Roman" w:eastAsia="宋体" w:cs="Times New Roman"/>
                <w:szCs w:val="21"/>
              </w:rPr>
            </w:pPr>
          </w:p>
        </w:tc>
        <w:tc>
          <w:tcPr>
            <w:tcW w:w="170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highlight w:val="none"/>
              </w:rPr>
            </w:pPr>
            <w:r>
              <w:rPr>
                <w:rFonts w:hint="eastAsia" w:ascii="宋体" w:hAnsi="宋体" w:eastAsia="宋体" w:cs="宋体"/>
                <w:highlight w:val="none"/>
              </w:rPr>
              <w:t>S01C1030</w:t>
            </w:r>
          </w:p>
        </w:tc>
        <w:tc>
          <w:tcPr>
            <w:tcW w:w="2591" w:type="dxa"/>
            <w:tcBorders>
              <w:bottom w:val="single" w:color="auto" w:sz="4" w:space="0"/>
              <w:right w:val="single" w:color="auto" w:sz="4" w:space="0"/>
            </w:tcBorders>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聚合物共混改性原理</w:t>
            </w:r>
          </w:p>
        </w:tc>
        <w:tc>
          <w:tcPr>
            <w:tcW w:w="567" w:type="dxa"/>
            <w:tcBorders>
              <w:left w:val="single" w:color="auto" w:sz="4" w:space="0"/>
            </w:tcBorders>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709"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127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材料学院</w:t>
            </w:r>
          </w:p>
        </w:tc>
        <w:tc>
          <w:tcPr>
            <w:tcW w:w="879" w:type="dxa"/>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讲授/研讨</w:t>
            </w:r>
          </w:p>
        </w:tc>
        <w:tc>
          <w:tcPr>
            <w:tcW w:w="709"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tcBorders>
              <w:right w:val="single" w:color="auto" w:sz="4" w:space="0"/>
            </w:tcBorders>
            <w:vAlign w:val="center"/>
          </w:tcPr>
          <w:p>
            <w:pPr>
              <w:widowControl/>
              <w:jc w:val="center"/>
              <w:rPr>
                <w:rFonts w:ascii="Times New Roman" w:hAnsi="Times New Roman" w:eastAsia="宋体" w:cs="Times New Roman"/>
                <w:szCs w:val="21"/>
              </w:rPr>
            </w:pPr>
          </w:p>
        </w:tc>
        <w:tc>
          <w:tcPr>
            <w:tcW w:w="1707"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宋体" w:hAnsi="宋体" w:eastAsia="宋体" w:cs="宋体"/>
                <w:highlight w:val="none"/>
              </w:rPr>
            </w:pPr>
            <w:r>
              <w:rPr>
                <w:rFonts w:hint="eastAsia" w:ascii="宋体" w:hAnsi="宋体" w:eastAsia="宋体" w:cs="宋体"/>
                <w:highlight w:val="none"/>
              </w:rPr>
              <w:t>S01C</w:t>
            </w:r>
            <w:r>
              <w:rPr>
                <w:rFonts w:hint="eastAsia" w:ascii="宋体" w:hAnsi="宋体" w:eastAsia="宋体" w:cs="宋体"/>
                <w:highlight w:val="none"/>
                <w:lang w:val="en-US" w:eastAsia="zh-CN"/>
              </w:rPr>
              <w:t>1</w:t>
            </w:r>
            <w:r>
              <w:rPr>
                <w:rFonts w:hint="eastAsia" w:ascii="宋体" w:hAnsi="宋体" w:eastAsia="宋体" w:cs="宋体"/>
                <w:highlight w:val="none"/>
              </w:rPr>
              <w:t>001</w:t>
            </w:r>
          </w:p>
        </w:tc>
        <w:tc>
          <w:tcPr>
            <w:tcW w:w="25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先进材料研究进展 </w:t>
            </w:r>
          </w:p>
        </w:tc>
        <w:tc>
          <w:tcPr>
            <w:tcW w:w="567" w:type="dxa"/>
            <w:tcBorders>
              <w:left w:val="single" w:color="auto" w:sz="4" w:space="0"/>
            </w:tcBorders>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p>
        </w:tc>
        <w:tc>
          <w:tcPr>
            <w:tcW w:w="567"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709"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127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材料学院</w:t>
            </w:r>
          </w:p>
        </w:tc>
        <w:tc>
          <w:tcPr>
            <w:tcW w:w="879" w:type="dxa"/>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讲授/研讨</w:t>
            </w:r>
          </w:p>
        </w:tc>
        <w:tc>
          <w:tcPr>
            <w:tcW w:w="709" w:type="dxa"/>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D类公共选修课</w:t>
            </w:r>
          </w:p>
        </w:tc>
        <w:tc>
          <w:tcPr>
            <w:tcW w:w="1707" w:type="dxa"/>
            <w:tcBorders>
              <w:top w:val="single" w:color="auto" w:sz="4" w:space="0"/>
            </w:tcBorders>
            <w:vAlign w:val="center"/>
          </w:tcPr>
          <w:p>
            <w:pPr>
              <w:jc w:val="center"/>
              <w:rPr>
                <w:rFonts w:ascii="宋体" w:hAnsi="宋体" w:eastAsia="宋体" w:cs="宋体"/>
                <w:b/>
                <w:bCs/>
              </w:rPr>
            </w:pPr>
            <w:r>
              <w:rPr>
                <w:rFonts w:hint="eastAsia" w:ascii="宋体" w:hAnsi="宋体" w:eastAsia="宋体" w:cs="宋体"/>
                <w:b/>
                <w:bCs/>
              </w:rPr>
              <w:t>S12D1001</w:t>
            </w:r>
          </w:p>
        </w:tc>
        <w:tc>
          <w:tcPr>
            <w:tcW w:w="2591" w:type="dxa"/>
            <w:tcBorders>
              <w:top w:val="single" w:color="auto" w:sz="4" w:space="0"/>
            </w:tcBorders>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自然辩证法概论</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18</w:t>
            </w:r>
          </w:p>
        </w:tc>
        <w:tc>
          <w:tcPr>
            <w:tcW w:w="567"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1</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1</w:t>
            </w:r>
          </w:p>
        </w:tc>
        <w:tc>
          <w:tcPr>
            <w:tcW w:w="1276"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马克思学院</w:t>
            </w:r>
          </w:p>
        </w:tc>
        <w:tc>
          <w:tcPr>
            <w:tcW w:w="87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讲授</w:t>
            </w:r>
          </w:p>
        </w:tc>
        <w:tc>
          <w:tcPr>
            <w:tcW w:w="709"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考查</w:t>
            </w:r>
          </w:p>
        </w:tc>
        <w:tc>
          <w:tcPr>
            <w:tcW w:w="672"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left"/>
              <w:rPr>
                <w:rFonts w:ascii="Times New Roman" w:hAnsi="Times New Roman" w:eastAsia="宋体" w:cs="Times New Roman"/>
                <w:szCs w:val="21"/>
              </w:rPr>
            </w:pPr>
          </w:p>
        </w:tc>
        <w:tc>
          <w:tcPr>
            <w:tcW w:w="1707" w:type="dxa"/>
            <w:vAlign w:val="center"/>
          </w:tcPr>
          <w:p>
            <w:pPr>
              <w:jc w:val="center"/>
              <w:rPr>
                <w:rFonts w:ascii="宋体" w:hAnsi="宋体" w:eastAsia="宋体" w:cs="宋体"/>
              </w:rPr>
            </w:pPr>
            <w:r>
              <w:rPr>
                <w:rFonts w:hint="eastAsia" w:ascii="宋体" w:hAnsi="宋体" w:eastAsia="宋体" w:cs="宋体"/>
              </w:rPr>
              <w:t>S14D1002</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日语</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外国语</w:t>
            </w:r>
            <w:r>
              <w:rPr>
                <w:rFonts w:ascii="Times New Roman" w:hAnsi="Times New Roman" w:eastAsia="宋体" w:cs="Times New Roman"/>
                <w:szCs w:val="21"/>
              </w:rPr>
              <w:t>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left"/>
              <w:rPr>
                <w:rFonts w:ascii="Times New Roman" w:hAnsi="Times New Roman" w:eastAsia="宋体" w:cs="Times New Roman"/>
                <w:szCs w:val="21"/>
              </w:rPr>
            </w:pPr>
          </w:p>
        </w:tc>
        <w:tc>
          <w:tcPr>
            <w:tcW w:w="1707" w:type="dxa"/>
            <w:vAlign w:val="center"/>
          </w:tcPr>
          <w:p>
            <w:pPr>
              <w:jc w:val="center"/>
              <w:rPr>
                <w:rFonts w:ascii="宋体" w:hAnsi="宋体" w:eastAsia="宋体" w:cs="宋体"/>
              </w:rPr>
            </w:pPr>
            <w:r>
              <w:rPr>
                <w:rFonts w:hint="eastAsia" w:ascii="宋体" w:hAnsi="宋体" w:eastAsia="宋体" w:cs="宋体"/>
              </w:rPr>
              <w:t>S14D1001</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西班牙语</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外国语</w:t>
            </w:r>
            <w:r>
              <w:rPr>
                <w:rFonts w:ascii="Times New Roman" w:hAnsi="Times New Roman" w:eastAsia="宋体" w:cs="Times New Roman"/>
                <w:szCs w:val="21"/>
              </w:rPr>
              <w:t>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left"/>
              <w:rPr>
                <w:rFonts w:ascii="Times New Roman" w:hAnsi="Times New Roman" w:eastAsia="宋体" w:cs="Times New Roman"/>
                <w:szCs w:val="21"/>
              </w:rPr>
            </w:pPr>
          </w:p>
        </w:tc>
        <w:tc>
          <w:tcPr>
            <w:tcW w:w="1707" w:type="dxa"/>
            <w:vAlign w:val="center"/>
          </w:tcPr>
          <w:p>
            <w:pPr>
              <w:jc w:val="center"/>
              <w:rPr>
                <w:rFonts w:ascii="宋体" w:hAnsi="宋体" w:eastAsia="宋体" w:cs="宋体"/>
              </w:rPr>
            </w:pPr>
            <w:r>
              <w:rPr>
                <w:rFonts w:hint="eastAsia" w:ascii="宋体" w:hAnsi="宋体" w:eastAsia="宋体" w:cs="宋体"/>
              </w:rPr>
              <w:t>S08D1001</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商务导论</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商学院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left"/>
              <w:rPr>
                <w:rFonts w:ascii="Times New Roman" w:hAnsi="Times New Roman" w:eastAsia="宋体" w:cs="Times New Roman"/>
                <w:szCs w:val="21"/>
              </w:rPr>
            </w:pPr>
          </w:p>
        </w:tc>
        <w:tc>
          <w:tcPr>
            <w:tcW w:w="1707" w:type="dxa"/>
            <w:vAlign w:val="center"/>
          </w:tcPr>
          <w:p>
            <w:pPr>
              <w:jc w:val="center"/>
              <w:rPr>
                <w:rFonts w:ascii="宋体" w:hAnsi="宋体" w:eastAsia="宋体" w:cs="宋体"/>
              </w:rPr>
            </w:pPr>
            <w:r>
              <w:rPr>
                <w:rFonts w:hint="eastAsia" w:ascii="宋体" w:hAnsi="宋体" w:eastAsia="宋体" w:cs="宋体"/>
              </w:rPr>
              <w:t>S14D1003</w:t>
            </w:r>
          </w:p>
        </w:tc>
        <w:tc>
          <w:tcPr>
            <w:tcW w:w="2591" w:type="dxa"/>
            <w:vAlign w:val="center"/>
          </w:tcPr>
          <w:p>
            <w:pPr>
              <w:rPr>
                <w:rFonts w:ascii="Times New Roman" w:hAnsi="Times New Roman" w:eastAsia="宋体" w:cs="Times New Roman"/>
                <w:szCs w:val="21"/>
              </w:rPr>
            </w:pPr>
            <w:r>
              <w:rPr>
                <w:rFonts w:ascii="Times New Roman" w:hAnsi="Times New Roman" w:eastAsia="宋体" w:cs="Times New Roman"/>
                <w:szCs w:val="21"/>
              </w:rPr>
              <w:t>高级英语听说</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32</w:t>
            </w:r>
          </w:p>
        </w:tc>
        <w:tc>
          <w:tcPr>
            <w:tcW w:w="56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外国语</w:t>
            </w:r>
            <w:r>
              <w:rPr>
                <w:rFonts w:ascii="Times New Roman" w:hAnsi="Times New Roman" w:eastAsia="宋体" w:cs="Times New Roman"/>
                <w:szCs w:val="21"/>
              </w:rPr>
              <w:t>学院</w:t>
            </w:r>
          </w:p>
        </w:tc>
        <w:tc>
          <w:tcPr>
            <w:tcW w:w="8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讲授</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672" w:type="dxa"/>
            <w:vMerge w:val="continue"/>
            <w:vAlign w:val="center"/>
          </w:tcPr>
          <w:p>
            <w:pPr>
              <w:widowControl/>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restart"/>
            <w:vAlign w:val="center"/>
          </w:tcPr>
          <w:p>
            <w:pPr>
              <w:widowControl/>
              <w:jc w:val="left"/>
              <w:rPr>
                <w:rFonts w:ascii="Times New Roman" w:hAnsi="Times New Roman" w:eastAsia="宋体" w:cs="Times New Roman"/>
                <w:szCs w:val="21"/>
              </w:rPr>
            </w:pPr>
            <w:r>
              <w:rPr>
                <w:rFonts w:ascii="Times New Roman" w:hAnsi="Times New Roman" w:eastAsia="宋体" w:cs="Times New Roman"/>
                <w:szCs w:val="21"/>
              </w:rPr>
              <w:t>实践环节</w:t>
            </w:r>
          </w:p>
        </w:tc>
        <w:tc>
          <w:tcPr>
            <w:tcW w:w="8296" w:type="dxa"/>
            <w:gridSpan w:val="7"/>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学术活动（听讲座次数≥15次）</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考核</w:t>
            </w:r>
          </w:p>
        </w:tc>
        <w:tc>
          <w:tcPr>
            <w:tcW w:w="67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38" w:type="dxa"/>
            <w:vMerge w:val="continue"/>
            <w:vAlign w:val="center"/>
          </w:tcPr>
          <w:p>
            <w:pPr>
              <w:widowControl/>
              <w:jc w:val="left"/>
              <w:rPr>
                <w:rFonts w:ascii="Times New Roman" w:hAnsi="Times New Roman" w:eastAsia="宋体" w:cs="Times New Roman"/>
                <w:szCs w:val="21"/>
              </w:rPr>
            </w:pPr>
          </w:p>
        </w:tc>
        <w:tc>
          <w:tcPr>
            <w:tcW w:w="8296" w:type="dxa"/>
            <w:gridSpan w:val="7"/>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实践</w:t>
            </w:r>
            <w:r>
              <w:rPr>
                <w:rFonts w:ascii="Times New Roman" w:hAnsi="Times New Roman" w:eastAsia="宋体" w:cs="Times New Roman"/>
                <w:szCs w:val="21"/>
              </w:rPr>
              <w:t>活动</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考核</w:t>
            </w:r>
          </w:p>
        </w:tc>
        <w:tc>
          <w:tcPr>
            <w:tcW w:w="67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1学分</w:t>
            </w:r>
          </w:p>
        </w:tc>
      </w:tr>
    </w:tbl>
    <w:p>
      <w:pPr>
        <w:pStyle w:val="7"/>
        <w:rPr>
          <w:rFonts w:hint="eastAsia"/>
          <w:b/>
          <w:bCs/>
          <w:highlight w:val="none"/>
        </w:rPr>
      </w:pPr>
      <w:r>
        <w:rPr>
          <w:rFonts w:hint="eastAsia"/>
          <w:b/>
          <w:bCs/>
          <w:highlight w:val="none"/>
        </w:rPr>
        <w:t>注：*核心专业课程；</w:t>
      </w:r>
    </w:p>
    <w:p>
      <w:pPr>
        <w:pStyle w:val="7"/>
        <w:rPr>
          <w:rFonts w:hint="default" w:eastAsia="宋体"/>
          <w:b/>
          <w:bCs/>
          <w:highlight w:val="none"/>
          <w:lang w:val="en-US" w:eastAsia="zh-CN"/>
        </w:rPr>
      </w:pPr>
      <w:r>
        <w:rPr>
          <w:rFonts w:hint="eastAsia"/>
          <w:b/>
          <w:bCs/>
          <w:highlight w:val="none"/>
          <w:lang w:val="en-US" w:eastAsia="zh-CN"/>
        </w:rPr>
        <w:t>B类课</w:t>
      </w:r>
      <w:r>
        <w:rPr>
          <w:rFonts w:ascii="Times New Roman" w:hAnsi="Times New Roman" w:eastAsia="宋体" w:cs="Times New Roman"/>
          <w:b/>
          <w:bCs/>
          <w:szCs w:val="21"/>
        </w:rPr>
        <w:t>工程伦理（必选）</w:t>
      </w:r>
      <w:r>
        <w:rPr>
          <w:rFonts w:hint="eastAsia" w:cs="Times New Roman"/>
          <w:b/>
          <w:bCs/>
          <w:szCs w:val="21"/>
          <w:lang w:eastAsia="zh-CN"/>
        </w:rPr>
        <w:t>、</w:t>
      </w:r>
      <w:r>
        <w:rPr>
          <w:rFonts w:hint="eastAsia"/>
          <w:b/>
          <w:bCs/>
          <w:highlight w:val="none"/>
          <w:lang w:val="en-US" w:eastAsia="zh-CN"/>
        </w:rPr>
        <w:t>C类课</w:t>
      </w:r>
      <w:r>
        <w:rPr>
          <w:rFonts w:hint="eastAsia"/>
          <w:b/>
          <w:bCs/>
          <w:highlight w:val="none"/>
        </w:rPr>
        <w:t>《</w:t>
      </w:r>
      <w:r>
        <w:rPr>
          <w:rFonts w:ascii="Times New Roman" w:hAnsi="Times New Roman" w:eastAsia="宋体" w:cs="Times New Roman"/>
          <w:b/>
          <w:bCs/>
          <w:szCs w:val="21"/>
        </w:rPr>
        <w:t>文献检索与阅读（必选）</w:t>
      </w:r>
      <w:r>
        <w:rPr>
          <w:rFonts w:hint="eastAsia"/>
          <w:b/>
          <w:bCs/>
          <w:highlight w:val="none"/>
        </w:rPr>
        <w:t>》</w:t>
      </w:r>
      <w:r>
        <w:rPr>
          <w:rFonts w:hint="eastAsia"/>
          <w:b/>
          <w:bCs/>
          <w:highlight w:val="none"/>
          <w:lang w:eastAsia="zh-CN"/>
        </w:rPr>
        <w:t>、</w:t>
      </w:r>
      <w:r>
        <w:rPr>
          <w:rFonts w:hint="eastAsia"/>
          <w:b/>
          <w:bCs/>
          <w:highlight w:val="none"/>
        </w:rPr>
        <w:t>D类课《自然辨证法概论》</w:t>
      </w:r>
      <w:r>
        <w:rPr>
          <w:rFonts w:hint="eastAsia"/>
          <w:b/>
          <w:bCs/>
          <w:highlight w:val="none"/>
          <w:lang w:val="en-US" w:eastAsia="zh-CN"/>
        </w:rPr>
        <w:t>这三门课程必选。</w:t>
      </w:r>
      <w:bookmarkStart w:id="0" w:name="_GoBack"/>
      <w:bookmarkEnd w:id="0"/>
    </w:p>
    <w:p>
      <w:pPr>
        <w:numPr>
          <w:ilvl w:val="0"/>
          <w:numId w:val="3"/>
        </w:numPr>
        <w:tabs>
          <w:tab w:val="left" w:pos="0"/>
        </w:tabs>
        <w:spacing w:before="156" w:beforeLines="50" w:after="156" w:afterLines="5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实践环节管理</w:t>
      </w:r>
    </w:p>
    <w:p>
      <w:pPr>
        <w:tabs>
          <w:tab w:val="left" w:pos="0"/>
        </w:tabs>
        <w:spacing w:line="360" w:lineRule="auto"/>
        <w:ind w:firstLine="480" w:firstLineChars="20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1、学术活动（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tabs>
          <w:tab w:val="left" w:pos="0"/>
        </w:tabs>
        <w:spacing w:line="360" w:lineRule="auto"/>
        <w:ind w:firstLine="480" w:firstLineChars="20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学术学位硕士研究生在学期间必须参加至少十五次校内外学术研讨活动，其中至少两次为人文美学素质类讲座，总数至少达十五次者才能取得学术活动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tabs>
          <w:tab w:val="left" w:pos="0"/>
        </w:tabs>
        <w:spacing w:line="360" w:lineRule="auto"/>
        <w:ind w:firstLine="480" w:firstLineChars="20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2、实践活动（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tabs>
          <w:tab w:val="left" w:pos="0"/>
        </w:tabs>
        <w:spacing w:line="360" w:lineRule="auto"/>
        <w:ind w:firstLine="480" w:firstLineChars="20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学术学位硕士研究生在学习期间必须参加研究生科技论坛、研究生暑期学校、研究生学术创新论坛、研究生科研创新实践大赛、高级别国际、国内学术会议或国（境）外交流访学、劳动实践等学术实践活动之一，以及参加校级以上体育运动会、学院组织实践项目等活动，才能取得实践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numPr>
          <w:ilvl w:val="0"/>
          <w:numId w:val="3"/>
        </w:numPr>
        <w:tabs>
          <w:tab w:val="left" w:pos="0"/>
        </w:tabs>
        <w:spacing w:before="156" w:beforeLines="50" w:after="156" w:afterLines="50"/>
        <w:rPr>
          <w:rFonts w:hint="eastAsia" w:ascii="宋体" w:hAnsi="宋体" w:eastAsia="宋体" w:cs="Times New Roman"/>
          <w:b/>
          <w:bCs/>
          <w:sz w:val="24"/>
          <w:szCs w:val="24"/>
          <w:highlight w:val="none"/>
        </w:rPr>
      </w:pPr>
      <w:r>
        <w:rPr>
          <w:rFonts w:ascii="宋体" w:hAnsi="宋体" w:eastAsia="宋体" w:cs="Times New Roman"/>
          <w:b/>
          <w:bCs/>
          <w:sz w:val="24"/>
          <w:szCs w:val="24"/>
          <w:highlight w:val="none"/>
        </w:rPr>
        <w:t>学位论文工作</w:t>
      </w:r>
    </w:p>
    <w:p>
      <w:pPr>
        <w:pStyle w:val="7"/>
        <w:rPr>
          <w:rFonts w:hint="eastAsia"/>
          <w:highlight w:val="none"/>
        </w:rPr>
      </w:pPr>
      <w:r>
        <w:rPr>
          <w:rFonts w:hint="eastAsia"/>
          <w:highlight w:val="none"/>
        </w:rPr>
        <w:t>详见《常州大学学术学位硕士研究生培养方案（总则）》要求。</w:t>
      </w:r>
    </w:p>
    <w:p>
      <w:pPr>
        <w:numPr>
          <w:ilvl w:val="0"/>
          <w:numId w:val="3"/>
        </w:numPr>
        <w:tabs>
          <w:tab w:val="left" w:pos="0"/>
        </w:tabs>
        <w:spacing w:before="156" w:beforeLines="50" w:after="156" w:afterLines="50"/>
        <w:rPr>
          <w:rFonts w:ascii="宋体" w:hAnsi="宋体" w:eastAsia="宋体" w:cs="Times New Roman"/>
          <w:b/>
          <w:bCs/>
          <w:sz w:val="24"/>
          <w:szCs w:val="24"/>
          <w:highlight w:val="none"/>
        </w:rPr>
      </w:pPr>
      <w:r>
        <w:rPr>
          <w:rFonts w:ascii="宋体" w:hAnsi="宋体" w:eastAsia="宋体" w:cs="Times New Roman"/>
          <w:b/>
          <w:bCs/>
          <w:sz w:val="24"/>
          <w:szCs w:val="24"/>
          <w:highlight w:val="none"/>
        </w:rPr>
        <w:t>毕业和授予学位标准</w:t>
      </w:r>
    </w:p>
    <w:p>
      <w:pPr>
        <w:ind w:firstLine="480" w:firstLineChars="200"/>
        <w:rPr>
          <w:rFonts w:hint="eastAsia" w:eastAsiaTheme="minorEastAsia"/>
          <w:lang w:val="en-US" w:eastAsia="zh-CN"/>
        </w:rPr>
      </w:pPr>
      <w:r>
        <w:rPr>
          <w:rStyle w:val="9"/>
          <w:sz w:val="24"/>
          <w:szCs w:val="24"/>
          <w:highlight w:val="none"/>
        </w:rPr>
        <w:t>毕业和授予学位标准按学校有关规定执行</w:t>
      </w:r>
      <w:r>
        <w:rPr>
          <w:rFonts w:hint="eastAsia"/>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3041"/>
    <w:multiLevelType w:val="multilevel"/>
    <w:tmpl w:val="28103041"/>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29781557"/>
    <w:multiLevelType w:val="multilevel"/>
    <w:tmpl w:val="29781557"/>
    <w:lvl w:ilvl="0" w:tentative="0">
      <w:start w:val="1"/>
      <w:numFmt w:val="decimal"/>
      <w:pStyle w:val="8"/>
      <w:lvlText w:val="%1."/>
      <w:lvlJc w:val="left"/>
      <w:pPr>
        <w:ind w:left="821" w:hanging="360"/>
      </w:pPr>
      <w:rPr>
        <w:rFonts w:hint="default"/>
      </w:rPr>
    </w:lvl>
    <w:lvl w:ilvl="1" w:tentative="0">
      <w:start w:val="1"/>
      <w:numFmt w:val="lowerLetter"/>
      <w:lvlText w:val="%2)"/>
      <w:lvlJc w:val="left"/>
      <w:pPr>
        <w:ind w:left="1301" w:hanging="420"/>
      </w:pPr>
      <w:rPr>
        <w:rFonts w:hint="default" w:ascii="Times New Roman" w:hAnsi="Times New Roman" w:cs="Times New Roman"/>
      </w:rPr>
    </w:lvl>
    <w:lvl w:ilvl="2" w:tentative="0">
      <w:start w:val="1"/>
      <w:numFmt w:val="lowerRoman"/>
      <w:lvlText w:val="%3."/>
      <w:lvlJc w:val="right"/>
      <w:pPr>
        <w:ind w:left="1721" w:hanging="420"/>
      </w:pPr>
      <w:rPr>
        <w:rFonts w:hint="default" w:ascii="Times New Roman" w:hAnsi="Times New Roman" w:cs="Times New Roman"/>
      </w:rPr>
    </w:lvl>
    <w:lvl w:ilvl="3" w:tentative="0">
      <w:start w:val="1"/>
      <w:numFmt w:val="decimal"/>
      <w:lvlText w:val="%4."/>
      <w:lvlJc w:val="left"/>
      <w:pPr>
        <w:ind w:left="2141" w:hanging="420"/>
      </w:pPr>
      <w:rPr>
        <w:rFonts w:hint="default" w:ascii="Times New Roman" w:hAnsi="Times New Roman" w:cs="Times New Roman"/>
      </w:rPr>
    </w:lvl>
    <w:lvl w:ilvl="4" w:tentative="0">
      <w:start w:val="1"/>
      <w:numFmt w:val="lowerLetter"/>
      <w:lvlText w:val="%5)"/>
      <w:lvlJc w:val="left"/>
      <w:pPr>
        <w:ind w:left="2561" w:hanging="420"/>
      </w:pPr>
      <w:rPr>
        <w:rFonts w:hint="default" w:ascii="Times New Roman" w:hAnsi="Times New Roman" w:cs="Times New Roman"/>
      </w:rPr>
    </w:lvl>
    <w:lvl w:ilvl="5" w:tentative="0">
      <w:start w:val="1"/>
      <w:numFmt w:val="lowerRoman"/>
      <w:lvlText w:val="%6."/>
      <w:lvlJc w:val="right"/>
      <w:pPr>
        <w:ind w:left="2981" w:hanging="420"/>
      </w:pPr>
      <w:rPr>
        <w:rFonts w:hint="default" w:ascii="Times New Roman" w:hAnsi="Times New Roman" w:cs="Times New Roman"/>
      </w:rPr>
    </w:lvl>
    <w:lvl w:ilvl="6" w:tentative="0">
      <w:start w:val="1"/>
      <w:numFmt w:val="decimal"/>
      <w:lvlText w:val="%7."/>
      <w:lvlJc w:val="left"/>
      <w:pPr>
        <w:ind w:left="3401" w:hanging="420"/>
      </w:pPr>
      <w:rPr>
        <w:rFonts w:hint="default" w:ascii="Times New Roman" w:hAnsi="Times New Roman" w:cs="Times New Roman"/>
      </w:rPr>
    </w:lvl>
    <w:lvl w:ilvl="7" w:tentative="0">
      <w:start w:val="1"/>
      <w:numFmt w:val="lowerLetter"/>
      <w:lvlText w:val="%8)"/>
      <w:lvlJc w:val="left"/>
      <w:pPr>
        <w:ind w:left="3821" w:hanging="420"/>
      </w:pPr>
      <w:rPr>
        <w:rFonts w:hint="default" w:ascii="Times New Roman" w:hAnsi="Times New Roman" w:cs="Times New Roman"/>
      </w:rPr>
    </w:lvl>
    <w:lvl w:ilvl="8" w:tentative="0">
      <w:start w:val="1"/>
      <w:numFmt w:val="lowerRoman"/>
      <w:lvlText w:val="%9."/>
      <w:lvlJc w:val="right"/>
      <w:pPr>
        <w:ind w:left="4241" w:hanging="420"/>
      </w:pPr>
      <w:rPr>
        <w:rFonts w:hint="default" w:ascii="Times New Roman" w:hAnsi="Times New Roman" w:cs="Times New Roman"/>
      </w:rPr>
    </w:lvl>
  </w:abstractNum>
  <w:abstractNum w:abstractNumId="2">
    <w:nsid w:val="4FD8487A"/>
    <w:multiLevelType w:val="multilevel"/>
    <w:tmpl w:val="4FD8487A"/>
    <w:lvl w:ilvl="0" w:tentative="0">
      <w:start w:val="1"/>
      <w:numFmt w:val="decimal"/>
      <w:pStyle w:val="5"/>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6954AF"/>
    <w:rsid w:val="165322D8"/>
    <w:rsid w:val="267442D0"/>
    <w:rsid w:val="29531E19"/>
    <w:rsid w:val="2D5567B3"/>
    <w:rsid w:val="3D344362"/>
    <w:rsid w:val="4ACF3901"/>
    <w:rsid w:val="54B76054"/>
    <w:rsid w:val="576D0C1A"/>
    <w:rsid w:val="636502AB"/>
    <w:rsid w:val="6A61439F"/>
    <w:rsid w:val="6AD55F8D"/>
    <w:rsid w:val="6EC4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annotation reference"/>
    <w:basedOn w:val="2"/>
    <w:semiHidden/>
    <w:unhideWhenUsed/>
    <w:qFormat/>
    <w:uiPriority w:val="99"/>
    <w:rPr>
      <w:sz w:val="21"/>
      <w:szCs w:val="21"/>
    </w:rPr>
  </w:style>
  <w:style w:type="paragraph" w:customStyle="1" w:styleId="5">
    <w:name w:val="2级标题"/>
    <w:basedOn w:val="6"/>
    <w:next w:val="1"/>
    <w:qFormat/>
    <w:uiPriority w:val="0"/>
    <w:pPr>
      <w:numPr>
        <w:ilvl w:val="0"/>
        <w:numId w:val="1"/>
      </w:numPr>
      <w:ind w:left="0" w:firstLine="0" w:firstLineChars="0"/>
      <w:outlineLvl w:val="1"/>
    </w:pPr>
    <w:rPr>
      <w:rFonts w:ascii="黑体" w:hAnsi="黑体" w:eastAsia="黑体"/>
      <w:sz w:val="24"/>
      <w:szCs w:val="24"/>
    </w:rPr>
  </w:style>
  <w:style w:type="paragraph" w:styleId="6">
    <w:name w:val="List Paragraph"/>
    <w:basedOn w:val="1"/>
    <w:qFormat/>
    <w:uiPriority w:val="34"/>
    <w:pPr>
      <w:ind w:firstLine="420" w:firstLineChars="200"/>
    </w:pPr>
  </w:style>
  <w:style w:type="paragraph" w:customStyle="1" w:styleId="7">
    <w:name w:val="正文样式"/>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8">
    <w:name w:val="小标题1."/>
    <w:basedOn w:val="1"/>
    <w:qFormat/>
    <w:uiPriority w:val="0"/>
    <w:pPr>
      <w:numPr>
        <w:ilvl w:val="0"/>
        <w:numId w:val="2"/>
      </w:numPr>
      <w:spacing w:line="360" w:lineRule="auto"/>
    </w:pPr>
    <w:rPr>
      <w:rFonts w:ascii="Times New Roman" w:hAnsi="Times New Roman" w:eastAsia="宋体" w:cs="Times New Roman"/>
      <w:kern w:val="0"/>
      <w:sz w:val="24"/>
      <w:szCs w:val="24"/>
    </w:rPr>
  </w:style>
  <w:style w:type="character" w:customStyle="1" w:styleId="9">
    <w:name w:val="fontstyle01"/>
    <w:basedOn w:val="2"/>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2023-07-26T02:12:00Z</dcterms:created>
  <dc:creator>Windows</dc:creator>
  <cp:lastModifiedBy>syhgxy</cp:lastModifiedBy>
  <dcterms:modified xsi:type="dcterms:W3CDTF">2023-09-14T05:00:31Z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ICV">
    <vt:lpwstr>D6902DBAD7B441F49F7AD99515856F27_12</vt:lpwstr>
  </property>
</Properties>
</file>